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7907" w14:textId="77777777" w:rsidR="00B25456" w:rsidRPr="002503D1" w:rsidRDefault="00F926A5" w:rsidP="00733C11">
      <w:pPr>
        <w:pStyle w:val="Title"/>
        <w:rPr>
          <w:rFonts w:asciiTheme="minorEastAsia" w:eastAsiaTheme="minorEastAsia" w:hAnsiTheme="minorEastAsia"/>
          <w:bCs/>
        </w:rPr>
      </w:pPr>
      <w:bookmarkStart w:id="0" w:name="_Hlk103166844"/>
      <w:bookmarkStart w:id="1" w:name="_Toc84334888"/>
      <w:r w:rsidRPr="002503D1">
        <w:rPr>
          <w:rFonts w:asciiTheme="minorEastAsia" w:eastAsiaTheme="minorEastAsia" w:hAnsiTheme="minorEastAsia"/>
          <w:bCs/>
          <w:lang w:eastAsia="zh-HK"/>
        </w:rPr>
        <w:t>為11年級和12年級做出選擇</w:t>
      </w:r>
    </w:p>
    <w:p w14:paraId="0D8B47A9" w14:textId="34D8B4A9" w:rsidR="00F926A5" w:rsidRPr="002503D1" w:rsidRDefault="00F926A5" w:rsidP="00733C11">
      <w:pPr>
        <w:pStyle w:val="Title"/>
        <w:rPr>
          <w:rFonts w:asciiTheme="minorEastAsia" w:eastAsiaTheme="minorEastAsia" w:hAnsiTheme="minorEastAsia"/>
          <w:bCs/>
        </w:rPr>
      </w:pPr>
      <w:r w:rsidRPr="002503D1">
        <w:rPr>
          <w:rFonts w:asciiTheme="minorEastAsia" w:eastAsiaTheme="minorEastAsia" w:hAnsiTheme="minorEastAsia"/>
          <w:bCs/>
          <w:color w:val="auto"/>
          <w:sz w:val="36"/>
          <w:szCs w:val="36"/>
          <w:lang w:eastAsia="zh-HK"/>
        </w:rPr>
        <w:t>給父母及照顧者的資訊</w:t>
      </w:r>
    </w:p>
    <w:bookmarkEnd w:id="0"/>
    <w:bookmarkEnd w:id="1"/>
    <w:p w14:paraId="02C42707" w14:textId="07912C4E" w:rsidR="00F926A5" w:rsidRPr="002503D1" w:rsidRDefault="00F926A5" w:rsidP="00A10BB8">
      <w:pPr>
        <w:widowControl w:val="0"/>
        <w:autoSpaceDE w:val="0"/>
        <w:autoSpaceDN w:val="0"/>
        <w:spacing w:before="209"/>
        <w:ind w:right="166"/>
        <w:rPr>
          <w:rFonts w:asciiTheme="minorEastAsia" w:hAnsiTheme="minorEastAsia"/>
          <w:szCs w:val="22"/>
          <w:lang w:eastAsia="zh-HK"/>
        </w:rPr>
      </w:pPr>
      <w:r w:rsidRPr="002503D1">
        <w:rPr>
          <w:rFonts w:asciiTheme="minorEastAsia" w:hAnsiTheme="minorEastAsia"/>
          <w:szCs w:val="22"/>
          <w:lang w:eastAsia="zh-HK"/>
        </w:rPr>
        <w:t>學生可能對大學學習感興趣，心中有一個特定的職業，為此想繼續深造，或者打算在離開學校後進入勞動力市場。11年級和12年級的學生有多種選擇，這些選擇為進入大學、接受培訓和就業提供了多種途徑。</w:t>
      </w:r>
    </w:p>
    <w:p w14:paraId="3A19F86E" w14:textId="77777777" w:rsidR="00F926A5" w:rsidRPr="002503D1" w:rsidRDefault="00F926A5" w:rsidP="00F926A5">
      <w:pPr>
        <w:widowControl w:val="0"/>
        <w:autoSpaceDE w:val="0"/>
        <w:autoSpaceDN w:val="0"/>
        <w:spacing w:before="1"/>
        <w:rPr>
          <w:rFonts w:asciiTheme="minorEastAsia" w:hAnsiTheme="minorEastAsia"/>
          <w:szCs w:val="22"/>
          <w:lang w:eastAsia="zh-HK"/>
        </w:rPr>
      </w:pPr>
    </w:p>
    <w:p w14:paraId="115C7958" w14:textId="6FC1600B" w:rsidR="00F926A5" w:rsidRPr="002503D1" w:rsidRDefault="00F926A5" w:rsidP="00A10BB8">
      <w:pPr>
        <w:widowControl w:val="0"/>
        <w:autoSpaceDE w:val="0"/>
        <w:autoSpaceDN w:val="0"/>
        <w:rPr>
          <w:rFonts w:asciiTheme="minorEastAsia" w:hAnsiTheme="minorEastAsia"/>
          <w:b/>
          <w:color w:val="592C82"/>
          <w:sz w:val="26"/>
          <w:szCs w:val="22"/>
        </w:rPr>
      </w:pPr>
      <w:r w:rsidRPr="002503D1">
        <w:rPr>
          <w:rFonts w:asciiTheme="minorEastAsia" w:hAnsiTheme="minorEastAsia"/>
          <w:b/>
          <w:bCs/>
          <w:color w:val="592C82"/>
          <w:sz w:val="26"/>
          <w:szCs w:val="22"/>
          <w:lang w:eastAsia="zh-HK"/>
        </w:rPr>
        <w:t>11年級和12年級的課程和學習計劃</w:t>
      </w:r>
    </w:p>
    <w:p w14:paraId="0EF80CEA" w14:textId="77777777" w:rsidR="005007C0" w:rsidRPr="002503D1" w:rsidRDefault="005007C0" w:rsidP="005007C0">
      <w:pPr>
        <w:rPr>
          <w:rFonts w:asciiTheme="minorEastAsia" w:hAnsiTheme="minorEastAsia"/>
        </w:rPr>
      </w:pPr>
    </w:p>
    <w:tbl>
      <w:tblPr>
        <w:tblStyle w:val="DOETable1"/>
        <w:tblW w:w="9069" w:type="dxa"/>
        <w:tblLook w:val="04A0" w:firstRow="1" w:lastRow="0" w:firstColumn="1" w:lastColumn="0" w:noHBand="0" w:noVBand="1"/>
      </w:tblPr>
      <w:tblGrid>
        <w:gridCol w:w="1696"/>
        <w:gridCol w:w="7373"/>
      </w:tblGrid>
      <w:tr w:rsidR="005007C0" w:rsidRPr="002503D1"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Pr="002503D1" w:rsidRDefault="00F926A5">
            <w:pPr>
              <w:rPr>
                <w:rFonts w:asciiTheme="minorEastAsia" w:hAnsiTheme="minorEastAsia"/>
              </w:rPr>
            </w:pPr>
            <w:r w:rsidRPr="002503D1">
              <w:rPr>
                <w:rFonts w:asciiTheme="minorEastAsia" w:hAnsiTheme="minorEastAsia"/>
                <w:lang w:eastAsia="zh-HK"/>
              </w:rPr>
              <w:t>選項</w:t>
            </w:r>
          </w:p>
        </w:tc>
        <w:tc>
          <w:tcPr>
            <w:tcW w:w="7373" w:type="dxa"/>
            <w:hideMark/>
          </w:tcPr>
          <w:p w14:paraId="692BFB56" w14:textId="77777777" w:rsidR="005007C0" w:rsidRPr="002503D1" w:rsidRDefault="005007C0">
            <w:pP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sidRPr="002503D1">
              <w:rPr>
                <w:rFonts w:asciiTheme="minorEastAsia" w:hAnsiTheme="minorEastAsia"/>
                <w:lang w:eastAsia="zh-HK"/>
              </w:rPr>
              <w:t>描述</w:t>
            </w:r>
          </w:p>
        </w:tc>
      </w:tr>
      <w:tr w:rsidR="005007C0" w:rsidRPr="002503D1"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Pr="002503D1" w:rsidRDefault="00F926A5" w:rsidP="00D904A2">
            <w:pPr>
              <w:rPr>
                <w:rFonts w:asciiTheme="minorEastAsia" w:hAnsiTheme="minorEastAsia"/>
              </w:rPr>
            </w:pPr>
            <w:r w:rsidRPr="002503D1">
              <w:rPr>
                <w:rFonts w:asciiTheme="minorEastAsia" w:hAnsiTheme="minorEastAsia"/>
                <w:lang w:eastAsia="zh-HK"/>
              </w:rPr>
              <w:t>ATAR課程</w:t>
            </w:r>
          </w:p>
        </w:tc>
        <w:tc>
          <w:tcPr>
            <w:tcW w:w="0" w:type="dxa"/>
            <w:vAlign w:val="center"/>
            <w:hideMark/>
          </w:tcPr>
          <w:p w14:paraId="6B9EC067" w14:textId="6019E3FE" w:rsidR="00DB2889" w:rsidRPr="002503D1"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spacing w:val="-2"/>
                <w:lang w:eastAsia="zh-HK"/>
              </w:rPr>
            </w:pPr>
            <w:r w:rsidRPr="002503D1">
              <w:rPr>
                <w:rFonts w:asciiTheme="minorEastAsia" w:hAnsiTheme="minorEastAsia"/>
                <w:lang w:eastAsia="zh-HK"/>
              </w:rPr>
              <w:t>澳大利亞高等教育錄取排名（ATAR）課程通常以學術為重點。報考ATAR的學生需要完成至少4門12年級的ATAR課程。雖然ATAR課程通常是為進入大學而鋪路，但也能為一系列高中畢業后的學習方向（包括職業培訓）做好準備。</w:t>
            </w:r>
          </w:p>
        </w:tc>
      </w:tr>
      <w:tr w:rsidR="005007C0" w:rsidRPr="002503D1"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Pr="002503D1" w:rsidRDefault="00F926A5" w:rsidP="00D904A2">
            <w:pPr>
              <w:rPr>
                <w:rFonts w:asciiTheme="minorEastAsia" w:hAnsiTheme="minorEastAsia"/>
              </w:rPr>
            </w:pPr>
            <w:r w:rsidRPr="002503D1">
              <w:rPr>
                <w:rFonts w:asciiTheme="minorEastAsia" w:hAnsiTheme="minorEastAsia"/>
                <w:lang w:eastAsia="zh-HK"/>
              </w:rPr>
              <w:t>普通課程</w:t>
            </w:r>
          </w:p>
        </w:tc>
        <w:tc>
          <w:tcPr>
            <w:tcW w:w="0" w:type="dxa"/>
            <w:vAlign w:val="center"/>
            <w:hideMark/>
          </w:tcPr>
          <w:p w14:paraId="1A064C8E" w14:textId="520756AC" w:rsidR="00DB2889" w:rsidRPr="002503D1"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2503D1">
              <w:rPr>
                <w:rFonts w:asciiTheme="minorEastAsia" w:hAnsiTheme="minorEastAsia"/>
                <w:lang w:eastAsia="zh-HK"/>
              </w:rPr>
              <w:t>這些課程主要面向通常將目標定為職業培訓深造或離校後將進入勞動力市場的學生。普通課程沒有像ATAR課程那樣設置外部考試，但在12年級確實有一項由外部設定的強制性任務，佔學生總評估的15%。學生可以使用一些普通課程作為申請某些大學課程的替代課程、先修課程或銜接途徑。</w:t>
            </w:r>
          </w:p>
        </w:tc>
      </w:tr>
      <w:tr w:rsidR="005007C0" w:rsidRPr="002503D1"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Pr="002503D1" w:rsidRDefault="00F926A5" w:rsidP="00D904A2">
            <w:pPr>
              <w:rPr>
                <w:rFonts w:asciiTheme="minorEastAsia" w:hAnsiTheme="minorEastAsia"/>
              </w:rPr>
            </w:pPr>
            <w:r w:rsidRPr="002503D1">
              <w:rPr>
                <w:rFonts w:asciiTheme="minorEastAsia" w:hAnsiTheme="minorEastAsia"/>
                <w:lang w:eastAsia="zh-HK"/>
              </w:rPr>
              <w:t>基礎課程</w:t>
            </w:r>
          </w:p>
        </w:tc>
        <w:tc>
          <w:tcPr>
            <w:tcW w:w="0" w:type="dxa"/>
            <w:vAlign w:val="center"/>
            <w:hideMark/>
          </w:tcPr>
          <w:p w14:paraId="639E94E6" w14:textId="0A3A1D83" w:rsidR="00F926A5" w:rsidRPr="002503D1"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lang w:eastAsia="zh-HK"/>
              </w:rPr>
            </w:pPr>
            <w:r w:rsidRPr="002503D1">
              <w:rPr>
                <w:rFonts w:asciiTheme="minorEastAsia" w:hAnsiTheme="minorEastAsia"/>
                <w:lang w:eastAsia="zh-HK"/>
              </w:rPr>
              <w:t>為那些需要支援才能在12年級結束前達到（英語）文化程度和/或算術能力最低標準的學生而設計。這些課程側重於基本的文化水準和算術技能、與工作相關的實踐經驗以及培養對生活和工作很重要的個人技能。</w:t>
            </w:r>
          </w:p>
          <w:p w14:paraId="194298FA" w14:textId="439B0616" w:rsidR="00DB2889" w:rsidRPr="002503D1"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lang w:eastAsia="zh-HK"/>
              </w:rPr>
            </w:pPr>
            <w:r w:rsidRPr="002503D1">
              <w:rPr>
                <w:rFonts w:asciiTheme="minorEastAsia" w:hAnsiTheme="minorEastAsia"/>
                <w:lang w:eastAsia="zh-HK"/>
              </w:rPr>
              <w:t>基礎課程沒有考試，它們在12年級會安排一項由外部設定的強制性任務，該任務佔學生該課程校內評估的15%。</w:t>
            </w:r>
          </w:p>
        </w:tc>
      </w:tr>
      <w:tr w:rsidR="005007C0" w:rsidRPr="002503D1"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Pr="002503D1" w:rsidRDefault="00F926A5" w:rsidP="00D904A2">
            <w:pPr>
              <w:rPr>
                <w:rFonts w:asciiTheme="minorEastAsia" w:hAnsiTheme="minorEastAsia"/>
              </w:rPr>
            </w:pPr>
            <w:r w:rsidRPr="002503D1">
              <w:rPr>
                <w:rFonts w:asciiTheme="minorEastAsia" w:hAnsiTheme="minorEastAsia"/>
                <w:lang w:eastAsia="zh-HK"/>
              </w:rPr>
              <w:t>VET資格證書</w:t>
            </w:r>
          </w:p>
        </w:tc>
        <w:tc>
          <w:tcPr>
            <w:tcW w:w="0" w:type="dxa"/>
            <w:vAlign w:val="center"/>
            <w:hideMark/>
          </w:tcPr>
          <w:p w14:paraId="2089142A" w14:textId="3D91EB93" w:rsidR="00DB2889" w:rsidRPr="002503D1"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lang w:eastAsia="zh-HK"/>
              </w:rPr>
            </w:pPr>
            <w:r w:rsidRPr="002503D1">
              <w:rPr>
                <w:rFonts w:asciiTheme="minorEastAsia" w:hAnsiTheme="minorEastAsia"/>
                <w:lang w:eastAsia="zh-HK"/>
              </w:rPr>
              <w:t>學生完成全國認可的職業教育與培訓（VET）資格證書。VET傳授工作場所所需的技能和知識。學生可以將VET資格證書計入西澳大利亞教育證書（WACE）的成績。</w:t>
            </w:r>
          </w:p>
        </w:tc>
      </w:tr>
    </w:tbl>
    <w:p w14:paraId="353A5361" w14:textId="199D8AAE" w:rsidR="00AB4166" w:rsidRPr="002503D1" w:rsidRDefault="00AB4166">
      <w:pPr>
        <w:rPr>
          <w:rFonts w:asciiTheme="minorEastAsia" w:hAnsiTheme="minorEastAsia"/>
          <w:lang w:eastAsia="zh-HK"/>
        </w:rPr>
      </w:pPr>
    </w:p>
    <w:tbl>
      <w:tblPr>
        <w:tblStyle w:val="DOETable1"/>
        <w:tblW w:w="9069" w:type="dxa"/>
        <w:tblLook w:val="0480" w:firstRow="0" w:lastRow="0" w:firstColumn="1" w:lastColumn="0" w:noHBand="0" w:noVBand="1"/>
      </w:tblPr>
      <w:tblGrid>
        <w:gridCol w:w="1696"/>
        <w:gridCol w:w="7373"/>
      </w:tblGrid>
      <w:tr w:rsidR="005007C0" w:rsidRPr="002503D1"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Pr="002503D1" w:rsidRDefault="00F926A5" w:rsidP="00567D4C">
            <w:pPr>
              <w:rPr>
                <w:rFonts w:asciiTheme="minorEastAsia" w:hAnsiTheme="minorEastAsia"/>
              </w:rPr>
            </w:pPr>
            <w:r w:rsidRPr="002503D1">
              <w:rPr>
                <w:rFonts w:asciiTheme="minorEastAsia" w:hAnsiTheme="minorEastAsia"/>
                <w:lang w:eastAsia="zh-HK"/>
              </w:rPr>
              <w:t>受認可的學習計劃</w:t>
            </w:r>
          </w:p>
        </w:tc>
        <w:tc>
          <w:tcPr>
            <w:tcW w:w="7373" w:type="dxa"/>
            <w:vAlign w:val="center"/>
            <w:hideMark/>
          </w:tcPr>
          <w:p w14:paraId="099A0D81" w14:textId="23F7CFD3" w:rsidR="00DB2889" w:rsidRPr="002503D1"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shd w:val="clear" w:color="auto" w:fill="FFFFFF"/>
              </w:rPr>
            </w:pPr>
            <w:r w:rsidRPr="002503D1">
              <w:rPr>
                <w:rFonts w:asciiTheme="minorEastAsia" w:hAnsiTheme="minorEastAsia"/>
                <w:color w:val="000000"/>
                <w:shd w:val="clear" w:color="auto" w:fill="FFFFFF"/>
                <w:lang w:eastAsia="zh-HK"/>
              </w:rPr>
              <w:t>受認可的學習 計劃透過活動提供WACE課程或VET計劃未涵蓋的學習內容。受認可的學習計劃適用於希望在學校、工作場所、大學和社區組織等各種環境中上課的學生。受認可的學習計劃既可以作為學校教學大綱的一部分，亦可以作為課外活動提供，學生可以將它們計入WACE的成績。</w:t>
            </w:r>
          </w:p>
        </w:tc>
      </w:tr>
      <w:tr w:rsidR="005007C0" w:rsidRPr="002503D1"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Pr="002503D1" w:rsidRDefault="00F926A5" w:rsidP="00567D4C">
            <w:pPr>
              <w:rPr>
                <w:rFonts w:asciiTheme="minorEastAsia" w:hAnsiTheme="minorEastAsia"/>
              </w:rPr>
            </w:pPr>
            <w:r w:rsidRPr="002503D1">
              <w:rPr>
                <w:rFonts w:asciiTheme="minorEastAsia" w:hAnsiTheme="minorEastAsia"/>
                <w:lang w:eastAsia="zh-HK"/>
              </w:rPr>
              <w:t>預備課程</w:t>
            </w:r>
          </w:p>
        </w:tc>
        <w:tc>
          <w:tcPr>
            <w:tcW w:w="7373" w:type="dxa"/>
            <w:vAlign w:val="center"/>
            <w:hideMark/>
          </w:tcPr>
          <w:p w14:paraId="24EC0142" w14:textId="08CA7EB6" w:rsidR="00F926A5" w:rsidRPr="002503D1"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2503D1">
              <w:rPr>
                <w:rFonts w:asciiTheme="minorEastAsia" w:hAnsiTheme="minorEastAsia"/>
                <w:lang w:eastAsia="zh-HK"/>
              </w:rPr>
              <w:t>預備課程專為經認定有學習困難和/或智力障礙的學生而設計。這些課程透過調整和/或制定殘疾規則，為那些無法參加ATAR、普通或基礎課程的學生提供了選擇。</w:t>
            </w:r>
          </w:p>
          <w:p w14:paraId="53AA4D07" w14:textId="6028C291" w:rsidR="00DB2889" w:rsidRPr="002503D1"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rPr>
            </w:pPr>
            <w:r w:rsidRPr="002503D1">
              <w:rPr>
                <w:rFonts w:asciiTheme="minorEastAsia" w:hAnsiTheme="minorEastAsia"/>
                <w:lang w:eastAsia="zh-HK"/>
              </w:rPr>
              <w:t>預備課程科目不可計作WACE成績。</w:t>
            </w:r>
          </w:p>
        </w:tc>
      </w:tr>
    </w:tbl>
    <w:p w14:paraId="2BEEC91B" w14:textId="77777777" w:rsidR="00F926A5" w:rsidRPr="002503D1" w:rsidRDefault="00F926A5" w:rsidP="00F926A5">
      <w:pPr>
        <w:pStyle w:val="Notes"/>
        <w:rPr>
          <w:rFonts w:asciiTheme="minorEastAsia" w:hAnsiTheme="minorEastAsia"/>
        </w:rPr>
      </w:pPr>
    </w:p>
    <w:sectPr w:rsidR="00F926A5" w:rsidRPr="002503D1"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0FB0A4CC" w:rsidR="008626AA" w:rsidRPr="003E7296" w:rsidRDefault="008626AA" w:rsidP="008626AA">
    <w:pPr>
      <w:pStyle w:val="Footer"/>
      <w:rPr>
        <w:sz w:val="18"/>
        <w:szCs w:val="14"/>
      </w:rPr>
    </w:pPr>
    <w:r>
      <w:rPr>
        <w:lang w:eastAsia="zh-HK"/>
      </w:rPr>
      <w:tab/>
    </w:r>
    <w:r>
      <w:rPr>
        <w:lang w:eastAsia="zh-HK"/>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D24/0256674</w:t>
        </w:r>
      </w:sdtContent>
    </w:sdt>
  </w:p>
  <w:p w14:paraId="3CC1B870" w14:textId="0C9C4C4C" w:rsidR="000F6D5A" w:rsidRPr="003E7296" w:rsidRDefault="008626AA" w:rsidP="008626AA">
    <w:pPr>
      <w:pStyle w:val="Footer"/>
      <w:rPr>
        <w:sz w:val="18"/>
        <w:szCs w:val="14"/>
      </w:rPr>
    </w:pPr>
    <w:r>
      <w:rPr>
        <w:sz w:val="18"/>
        <w:szCs w:val="14"/>
        <w:lang w:eastAsia="zh-HK"/>
      </w:rPr>
      <w:tab/>
    </w:r>
    <w:r>
      <w:rPr>
        <w:sz w:val="18"/>
        <w:szCs w:val="14"/>
        <w:lang w:eastAsia="zh-HK"/>
      </w:rPr>
      <w:fldChar w:fldCharType="begin"/>
    </w:r>
    <w:r>
      <w:rPr>
        <w:sz w:val="18"/>
        <w:szCs w:val="14"/>
        <w:lang w:eastAsia="zh-HK"/>
      </w:rPr>
      <w:instrText xml:space="preserve"> PAGE   \* MERGEFORMAT </w:instrText>
    </w:r>
    <w:r>
      <w:rPr>
        <w:sz w:val="18"/>
        <w:szCs w:val="14"/>
        <w:lang w:eastAsia="zh-HK"/>
      </w:rPr>
      <w:fldChar w:fldCharType="separate"/>
    </w:r>
    <w:r>
      <w:rPr>
        <w:noProof/>
        <w:sz w:val="18"/>
        <w:szCs w:val="14"/>
        <w:lang w:eastAsia="zh-HK"/>
      </w:rPr>
      <w:t>2</w:t>
    </w:r>
    <w:r>
      <w:rPr>
        <w:sz w:val="18"/>
        <w:szCs w:val="14"/>
        <w:lang w:eastAsia="zh-HK"/>
      </w:rPr>
      <w:fldChar w:fldCharType="end"/>
    </w:r>
    <w:r>
      <w:rPr>
        <w:sz w:val="18"/>
        <w:szCs w:val="14"/>
        <w:lang w:eastAsia="zh-HK"/>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FBB372F" w:rsidR="00440775" w:rsidRPr="003E7296" w:rsidRDefault="001E1668" w:rsidP="001E1668">
    <w:pPr>
      <w:pStyle w:val="Footer"/>
      <w:rPr>
        <w:sz w:val="18"/>
        <w:szCs w:val="14"/>
      </w:rPr>
    </w:pPr>
    <w:r>
      <w:rPr>
        <w:lang w:eastAsia="zh-HK"/>
      </w:rPr>
      <w:tab/>
    </w:r>
    <w:r>
      <w:rPr>
        <w:lang w:eastAsia="zh-HK"/>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D24/0256674</w:t>
        </w:r>
      </w:sdtContent>
    </w:sdt>
  </w:p>
  <w:p w14:paraId="0E2C46A7" w14:textId="0337A0DE" w:rsidR="00AF71AF" w:rsidRPr="00FE0C8C" w:rsidRDefault="00440775" w:rsidP="001E1668">
    <w:pPr>
      <w:pStyle w:val="Footer"/>
      <w:rPr>
        <w:sz w:val="18"/>
        <w:szCs w:val="14"/>
      </w:rPr>
    </w:pPr>
    <w:r>
      <w:rPr>
        <w:color w:val="auto"/>
        <w:sz w:val="18"/>
        <w:szCs w:val="14"/>
        <w:lang w:eastAsia="zh-HK"/>
      </w:rPr>
      <w:tab/>
    </w:r>
    <w:r>
      <w:rPr>
        <w:color w:val="auto"/>
        <w:sz w:val="18"/>
        <w:szCs w:val="14"/>
        <w:lang w:eastAsia="zh-HK"/>
      </w:rPr>
      <w:tab/>
    </w:r>
    <w:r>
      <w:rPr>
        <w:sz w:val="18"/>
        <w:szCs w:val="14"/>
        <w:lang w:eastAsia="zh-HK"/>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HK"/>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0F5650C6" w:rsidR="00916AF7" w:rsidRDefault="002503D1" w:rsidP="00127DAD">
    <w:pPr>
      <w:pStyle w:val="Header"/>
    </w:pPr>
    <w:r>
      <w:rPr>
        <w:noProof/>
      </w:rPr>
      <mc:AlternateContent>
        <mc:Choice Requires="wps">
          <w:drawing>
            <wp:anchor distT="45720" distB="45720" distL="114300" distR="114300" simplePos="0" relativeHeight="251660800" behindDoc="0" locked="0" layoutInCell="1" allowOverlap="1" wp14:anchorId="7D656A02" wp14:editId="2B44468B">
              <wp:simplePos x="0" y="0"/>
              <wp:positionH relativeFrom="column">
                <wp:posOffset>5464948</wp:posOffset>
              </wp:positionH>
              <wp:positionV relativeFrom="paragraph">
                <wp:posOffset>-127221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759093" w14:textId="7C09F3A5" w:rsidR="002503D1" w:rsidRPr="002503D1" w:rsidRDefault="002503D1">
                          <w:pPr>
                            <w:rPr>
                              <w:rFonts w:hint="eastAsia"/>
                              <w:color w:val="404040" w:themeColor="text1" w:themeTint="BF"/>
                              <w:sz w:val="18"/>
                              <w:szCs w:val="18"/>
                            </w:rPr>
                          </w:pPr>
                          <w:r w:rsidRPr="002503D1">
                            <w:rPr>
                              <w:color w:val="404040" w:themeColor="text1" w:themeTint="BF"/>
                              <w:sz w:val="18"/>
                              <w:szCs w:val="18"/>
                              <w:lang w:eastAsia="zh-CN"/>
                            </w:rPr>
                            <w:t>T</w:t>
                          </w:r>
                          <w:r w:rsidRPr="002503D1">
                            <w:rPr>
                              <w:rFonts w:hint="eastAsia"/>
                              <w:color w:val="404040" w:themeColor="text1" w:themeTint="BF"/>
                              <w:sz w:val="18"/>
                              <w:szCs w:val="18"/>
                              <w:lang w:eastAsia="zh-CN"/>
                            </w:rPr>
                            <w:t xml:space="preserve">raditional </w:t>
                          </w:r>
                          <w:r w:rsidRPr="002503D1">
                            <w:rPr>
                              <w:color w:val="404040" w:themeColor="text1" w:themeTint="BF"/>
                              <w:sz w:val="18"/>
                              <w:szCs w:val="18"/>
                              <w:lang w:eastAsia="zh-CN"/>
                            </w:rPr>
                            <w:t>Chinese</w:t>
                          </w:r>
                        </w:p>
                        <w:p w14:paraId="3738D0F2" w14:textId="77777777" w:rsidR="002503D1" w:rsidRDefault="002503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656A02" id="_x0000_t202" coordsize="21600,21600" o:spt="202" path="m,l,21600r21600,l21600,xe">
              <v:stroke joinstyle="miter"/>
              <v:path gradientshapeok="t" o:connecttype="rect"/>
            </v:shapetype>
            <v:shape id="Text Box 2" o:spid="_x0000_s1026" type="#_x0000_t202" style="position:absolute;margin-left:430.3pt;margin-top:-10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" filled="f" stroked="f">
              <v:textbox style="mso-fit-shape-to-text:t">
                <w:txbxContent>
                  <w:p w14:paraId="1F759093" w14:textId="7C09F3A5" w:rsidR="002503D1" w:rsidRPr="002503D1" w:rsidRDefault="002503D1">
                    <w:pPr>
                      <w:rPr>
                        <w:rFonts w:hint="eastAsia"/>
                        <w:color w:val="404040" w:themeColor="text1" w:themeTint="BF"/>
                        <w:sz w:val="18"/>
                        <w:szCs w:val="18"/>
                      </w:rPr>
                    </w:pPr>
                    <w:r w:rsidRPr="002503D1">
                      <w:rPr>
                        <w:color w:val="404040" w:themeColor="text1" w:themeTint="BF"/>
                        <w:sz w:val="18"/>
                        <w:szCs w:val="18"/>
                        <w:lang w:eastAsia="zh-CN"/>
                      </w:rPr>
                      <w:t>T</w:t>
                    </w:r>
                    <w:r w:rsidRPr="002503D1">
                      <w:rPr>
                        <w:rFonts w:hint="eastAsia"/>
                        <w:color w:val="404040" w:themeColor="text1" w:themeTint="BF"/>
                        <w:sz w:val="18"/>
                        <w:szCs w:val="18"/>
                        <w:lang w:eastAsia="zh-CN"/>
                      </w:rPr>
                      <w:t xml:space="preserve">raditional </w:t>
                    </w:r>
                    <w:r w:rsidRPr="002503D1">
                      <w:rPr>
                        <w:color w:val="404040" w:themeColor="text1" w:themeTint="BF"/>
                        <w:sz w:val="18"/>
                        <w:szCs w:val="18"/>
                        <w:lang w:eastAsia="zh-CN"/>
                      </w:rPr>
                      <w:t>Chinese</w:t>
                    </w:r>
                  </w:p>
                  <w:p w14:paraId="3738D0F2" w14:textId="77777777" w:rsidR="002503D1" w:rsidRDefault="002503D1"/>
                </w:txbxContent>
              </v:textbox>
              <w10:wrap type="square"/>
            </v:shape>
          </w:pict>
        </mc:Fallback>
      </mc:AlternateContent>
    </w:r>
    <w:r w:rsidR="00DD5BF0">
      <w:rPr>
        <w:noProof/>
        <w:lang w:eastAsia="zh-HK"/>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59B0"/>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26C5"/>
    <w:rsid w:val="002057F1"/>
    <w:rsid w:val="00237DA1"/>
    <w:rsid w:val="002503D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026C5"/>
    <w:rsid w:val="00363BFE"/>
    <w:rsid w:val="003F43C2"/>
    <w:rsid w:val="00462B0A"/>
    <w:rsid w:val="004C60B5"/>
    <w:rsid w:val="00702A54"/>
    <w:rsid w:val="00716BF8"/>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79CD9AA0-BA32-43C6-BD8D-82BDFAC25CDE}"/>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2D9C805-7AD8-4979-B0A9-EB9EF313543B}">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d6520638-0d4b-4f10-b9f9-cc818b5e466b"/>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5</cp:revision>
  <cp:lastPrinted>2025-04-09T02:45:00Z</cp:lastPrinted>
  <dcterms:created xsi:type="dcterms:W3CDTF">2025-02-18T03:29:00Z</dcterms:created>
  <dcterms:modified xsi:type="dcterms:W3CDTF">2025-04-09T02:46:00Z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