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F1F3" w14:textId="1239E68F" w:rsidR="006E4EA4" w:rsidRDefault="00F424CC" w:rsidP="004C3145">
      <w:pPr>
        <w:pStyle w:val="Title"/>
      </w:pPr>
      <w:bookmarkStart w:id="0" w:name="_Hlk103166844"/>
      <w:bookmarkStart w:id="1" w:name="_Toc84334888"/>
      <w:r>
        <w:rPr>
          <w:bCs/>
          <w:lang w:val="th"/>
        </w:rPr>
        <w:t>เส้นทางการเข้าศึกษาต่อในะระดับมหาวิทยาลัย</w:t>
      </w:r>
    </w:p>
    <w:p w14:paraId="7B23013F" w14:textId="155A102B" w:rsidR="00F424CC" w:rsidRPr="00F424CC" w:rsidRDefault="00F424CC" w:rsidP="004C3145">
      <w:pPr>
        <w:pStyle w:val="Title"/>
        <w:rPr>
          <w:color w:val="auto"/>
          <w:sz w:val="36"/>
          <w:szCs w:val="36"/>
        </w:rPr>
      </w:pPr>
      <w:r>
        <w:rPr>
          <w:bCs/>
          <w:color w:val="auto"/>
          <w:sz w:val="36"/>
          <w:szCs w:val="36"/>
          <w:lang w:val="th"/>
        </w:rPr>
        <w:t>ข้อมูลสำหรับพ่อแม่ผู้ปกครองและผู้ดูแล</w:t>
      </w:r>
    </w:p>
    <w:bookmarkEnd w:id="0"/>
    <w:bookmarkEnd w:id="1"/>
    <w:p w14:paraId="78A52AA3" w14:textId="77777777" w:rsidR="00F424CC" w:rsidRDefault="00F424CC" w:rsidP="004C3145">
      <w:pPr>
        <w:pStyle w:val="BodyText"/>
        <w:spacing w:before="209"/>
      </w:pPr>
      <w:r>
        <w:rPr>
          <w:lang w:val="th"/>
        </w:rPr>
        <w:t>นักเรียนระดับชั้นมัธยมปลายสามารถเลือกเส้นทางการเข้าศึกษาต่อในระดับมหาวิทยาลัยได้อย่างหลากหลาย การฝึกอบรมวิชาชีพ และการได้รับการจ้างงาน โดยนักเรียนสามารถเลือกเส้นทางการศึกษาต่อที่ตรงกับความสนใจ ทักษะ ความต้องการ และความใฝ่ฝันของตัวเอง</w:t>
      </w:r>
    </w:p>
    <w:p w14:paraId="7361B4A9" w14:textId="77777777" w:rsidR="00F424CC" w:rsidRDefault="00F424CC" w:rsidP="004C3145">
      <w:pPr>
        <w:pStyle w:val="BodyText"/>
        <w:spacing w:before="1"/>
        <w:rPr>
          <w:sz w:val="19"/>
        </w:rPr>
      </w:pPr>
    </w:p>
    <w:p w14:paraId="065CA492" w14:textId="77777777" w:rsidR="00F424CC" w:rsidRPr="00F424CC" w:rsidRDefault="00F424CC" w:rsidP="004C3145">
      <w:pPr>
        <w:rPr>
          <w:b/>
          <w:color w:val="592C82"/>
          <w:sz w:val="26"/>
        </w:rPr>
      </w:pPr>
      <w:r>
        <w:rPr>
          <w:b/>
          <w:bCs/>
          <w:color w:val="592C82"/>
          <w:sz w:val="26"/>
          <w:lang w:val="th"/>
        </w:rPr>
        <w:t>เส้นทางการเข้าศึกษาต่อในระดับมหาวิทยาลัยมีอะไรบ้าง</w:t>
      </w:r>
    </w:p>
    <w:p w14:paraId="1FEA9186" w14:textId="2A617920" w:rsidR="00F321C6" w:rsidRPr="00BE43AE" w:rsidRDefault="00F424CC" w:rsidP="00037E99">
      <w:pPr>
        <w:widowControl w:val="0"/>
        <w:autoSpaceDE w:val="0"/>
        <w:autoSpaceDN w:val="0"/>
        <w:spacing w:before="221" w:after="120" w:line="276" w:lineRule="exact"/>
        <w:outlineLvl w:val="0"/>
        <w:rPr>
          <w:rFonts w:eastAsia="Arial"/>
          <w:b/>
          <w:bCs/>
          <w:spacing w:val="-4"/>
          <w:sz w:val="24"/>
          <w:szCs w:val="24"/>
        </w:rPr>
      </w:pPr>
      <w:r>
        <w:rPr>
          <w:rFonts w:eastAsia="Arial"/>
          <w:b/>
          <w:bCs/>
          <w:sz w:val="24"/>
          <w:szCs w:val="24"/>
          <w:lang w:val="th"/>
        </w:rPr>
        <w:t>อันดับเพื่อการเข้าศึกษาในระดับอุดมศึกษาแห่งประเทศออสเตรเลีย</w:t>
      </w:r>
      <w:r>
        <w:rPr>
          <w:rFonts w:eastAsia="Arial"/>
          <w:sz w:val="24"/>
          <w:szCs w:val="24"/>
          <w:lang w:val="th"/>
        </w:rPr>
        <w:t xml:space="preserve"> </w:t>
      </w:r>
      <w:r>
        <w:rPr>
          <w:rFonts w:eastAsia="Arial"/>
          <w:b/>
          <w:bCs/>
          <w:sz w:val="24"/>
          <w:szCs w:val="24"/>
          <w:lang w:val="th"/>
        </w:rPr>
        <w:t>(ATAR)</w:t>
      </w:r>
    </w:p>
    <w:p w14:paraId="7BA0A285" w14:textId="77F6E707" w:rsidR="00A52B71" w:rsidRDefault="00F424CC" w:rsidP="004529D5">
      <w:pPr>
        <w:pStyle w:val="BodyText"/>
      </w:pPr>
      <w:r>
        <w:rPr>
          <w:lang w:val="th"/>
        </w:rPr>
        <w:t xml:space="preserve">อันดับเพื่อการเข้าศึกษาในระดับอุดมศึกษาแห่งประเทศออสเตรเลีย (Australian Tertiary Admissions Rank: ATAR) ของนักเรียน จะถูกคำนวณจากผลการเรียนและคะแนนสอบของพวกเขา โดยจำเป็นต้องมีผลคะแนนรายวิชาของ ATAR อย่างน้อย 4 วิชา สำหรับนักเรียนส่วนใหญ่แล้ว ความท้าทายและความเป็นวิชาการของรายวิชาในระบบ ATAR เป็นช่องทางการเตรียมตัวสู่ความสำเร็จในรั้วมหาวิทยาลัยได้ดีที่สุด </w:t>
      </w:r>
    </w:p>
    <w:p w14:paraId="17F32ACD" w14:textId="77777777" w:rsidR="00A52B71" w:rsidRDefault="00A52B71" w:rsidP="004529D5">
      <w:pPr>
        <w:pStyle w:val="BodyText"/>
      </w:pPr>
    </w:p>
    <w:p w14:paraId="036899A0" w14:textId="2AF1C3D9" w:rsidR="004529D5" w:rsidRDefault="004529D5" w:rsidP="004529D5">
      <w:pPr>
        <w:pStyle w:val="BodyText"/>
      </w:pPr>
      <w:r>
        <w:rPr>
          <w:lang w:val="th"/>
        </w:rPr>
        <w:t>นักเรียนในระดับชั้นปีที่ 12 จะได้รับทราบข้อมูลจากทางโรงเรียน เกี่ยวกับการสมัครเข้าเรียนในมหาวิทยาลัยต่าง ๆ การคัดเลือกเพื่อเข้าเรียนในหลักสูตรระดับปริญญา</w:t>
      </w:r>
    </w:p>
    <w:p w14:paraId="0D162FFB" w14:textId="77777777" w:rsidR="00F424CC" w:rsidRDefault="00F424CC" w:rsidP="004C3145">
      <w:pPr>
        <w:pStyle w:val="BodyText"/>
      </w:pPr>
    </w:p>
    <w:p w14:paraId="273B6216" w14:textId="77777777" w:rsidR="00F424CC" w:rsidRDefault="00F424CC" w:rsidP="004C3145">
      <w:pPr>
        <w:pStyle w:val="BodyText"/>
      </w:pPr>
      <w:r>
        <w:rPr>
          <w:lang w:val="th"/>
        </w:rPr>
        <w:t>เพื่อให้มีสถานะเป็นผู้จบการศึกษาที่จะใช้คะแนน ATAR ในการเข้าเรียนในมหาวิทยาลัย นักเรียนจะต้อง:</w:t>
      </w:r>
    </w:p>
    <w:p w14:paraId="2C2EBEC9" w14:textId="3D68334C" w:rsidR="00F424CC" w:rsidRDefault="00F424CC" w:rsidP="00D70709">
      <w:pPr>
        <w:pStyle w:val="BodyText"/>
        <w:numPr>
          <w:ilvl w:val="0"/>
          <w:numId w:val="23"/>
        </w:numPr>
        <w:ind w:left="700"/>
      </w:pPr>
      <w:r>
        <w:rPr>
          <w:lang w:val="th"/>
        </w:rPr>
        <w:t>ผ่านเกณฑ์ข้อกำหนดในการได้รับ ประกาศนียบัตรระดับมัธยมปลายแห่งรัฐเวสเทิร์นออสเตรเลีย (Western Australian Certificate of Education: WACE)</w:t>
      </w:r>
    </w:p>
    <w:p w14:paraId="5618A6A3" w14:textId="4B64AF42" w:rsidR="004C4720" w:rsidRPr="00063A80" w:rsidRDefault="00F424CC" w:rsidP="00063A80">
      <w:pPr>
        <w:pStyle w:val="BodyText"/>
        <w:numPr>
          <w:ilvl w:val="0"/>
          <w:numId w:val="23"/>
        </w:numPr>
        <w:ind w:left="700"/>
      </w:pPr>
      <w:r>
        <w:rPr>
          <w:noProof/>
          <w:lang w:val="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06C44B" wp14:editId="24B040F5">
                <wp:simplePos x="0" y="0"/>
                <wp:positionH relativeFrom="page">
                  <wp:posOffset>1358265</wp:posOffset>
                </wp:positionH>
                <wp:positionV relativeFrom="paragraph">
                  <wp:posOffset>169545</wp:posOffset>
                </wp:positionV>
                <wp:extent cx="980440" cy="321945"/>
                <wp:effectExtent l="0" t="0" r="0" b="3175"/>
                <wp:wrapNone/>
                <wp:docPr id="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0440" cy="321945"/>
                        </a:xfrm>
                        <a:custGeom>
                          <a:avLst/>
                          <a:gdLst>
                            <a:gd name="T0" fmla="+- 0 2847 2139"/>
                            <a:gd name="T1" fmla="*/ T0 w 1544"/>
                            <a:gd name="T2" fmla="+- 0 267 267"/>
                            <a:gd name="T3" fmla="*/ 267 h 507"/>
                            <a:gd name="T4" fmla="+- 0 2139 2139"/>
                            <a:gd name="T5" fmla="*/ T4 w 1544"/>
                            <a:gd name="T6" fmla="+- 0 267 267"/>
                            <a:gd name="T7" fmla="*/ 267 h 507"/>
                            <a:gd name="T8" fmla="+- 0 2139 2139"/>
                            <a:gd name="T9" fmla="*/ T8 w 1544"/>
                            <a:gd name="T10" fmla="+- 0 519 267"/>
                            <a:gd name="T11" fmla="*/ 519 h 507"/>
                            <a:gd name="T12" fmla="+- 0 2847 2139"/>
                            <a:gd name="T13" fmla="*/ T12 w 1544"/>
                            <a:gd name="T14" fmla="+- 0 519 267"/>
                            <a:gd name="T15" fmla="*/ 519 h 507"/>
                            <a:gd name="T16" fmla="+- 0 2847 2139"/>
                            <a:gd name="T17" fmla="*/ T16 w 1544"/>
                            <a:gd name="T18" fmla="+- 0 267 267"/>
                            <a:gd name="T19" fmla="*/ 267 h 507"/>
                            <a:gd name="T20" fmla="+- 0 3682 2139"/>
                            <a:gd name="T21" fmla="*/ T20 w 1544"/>
                            <a:gd name="T22" fmla="+- 0 519 267"/>
                            <a:gd name="T23" fmla="*/ 519 h 507"/>
                            <a:gd name="T24" fmla="+- 0 2859 2139"/>
                            <a:gd name="T25" fmla="*/ T24 w 1544"/>
                            <a:gd name="T26" fmla="+- 0 519 267"/>
                            <a:gd name="T27" fmla="*/ 519 h 507"/>
                            <a:gd name="T28" fmla="+- 0 2859 2139"/>
                            <a:gd name="T29" fmla="*/ T28 w 1544"/>
                            <a:gd name="T30" fmla="+- 0 773 267"/>
                            <a:gd name="T31" fmla="*/ 773 h 507"/>
                            <a:gd name="T32" fmla="+- 0 3682 2139"/>
                            <a:gd name="T33" fmla="*/ T32 w 1544"/>
                            <a:gd name="T34" fmla="+- 0 773 267"/>
                            <a:gd name="T35" fmla="*/ 773 h 507"/>
                            <a:gd name="T36" fmla="+- 0 3682 2139"/>
                            <a:gd name="T37" fmla="*/ T36 w 1544"/>
                            <a:gd name="T38" fmla="+- 0 519 267"/>
                            <a:gd name="T39" fmla="*/ 519 h 5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44" h="507">
                              <a:moveTo>
                                <a:pt x="708" y="0"/>
                              </a:moveTo>
                              <a:lnTo>
                                <a:pt x="0" y="0"/>
                              </a:lnTo>
                              <a:lnTo>
                                <a:pt x="0" y="252"/>
                              </a:lnTo>
                              <a:lnTo>
                                <a:pt x="708" y="252"/>
                              </a:lnTo>
                              <a:lnTo>
                                <a:pt x="708" y="0"/>
                              </a:lnTo>
                              <a:close/>
                              <a:moveTo>
                                <a:pt x="1543" y="252"/>
                              </a:moveTo>
                              <a:lnTo>
                                <a:pt x="720" y="252"/>
                              </a:lnTo>
                              <a:lnTo>
                                <a:pt x="720" y="506"/>
                              </a:lnTo>
                              <a:lnTo>
                                <a:pt x="1543" y="506"/>
                              </a:lnTo>
                              <a:lnTo>
                                <a:pt x="1543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4F70696" id="Freeform: Shape 4" o:spid="_x0000_s1026" style="position:absolute;margin-left:106.95pt;margin-top:13.35pt;width:77.2pt;height:2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4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" path="m708,l,,,252r708,l708,xm1543,252r-823,l720,506r823,l1543,252xe" fillcolor="#fbfbfb" stroked="f">
                <v:path arrowok="t" o:connecttype="custom" o:connectlocs="449580,169545;0,169545;0,329565;449580,329565;449580,169545;979805,329565;457200,329565;457200,490855;979805,490855;979805,329565" o:connectangles="0,0,0,0,0,0,0,0,0,0"/>
                <w10:wrap anchorx="page"/>
              </v:shape>
            </w:pict>
          </mc:Fallback>
        </mc:AlternateContent>
      </w:r>
      <w:r>
        <w:rPr>
          <w:lang w:val="th"/>
        </w:rPr>
        <w:t>มีความสามารถทางภาษาอังกฤษผ่านเกณฑ์มาตรฐานตามที่กำหนดไว้โดยแต่ละมหาวิทยาลัย</w:t>
      </w:r>
    </w:p>
    <w:p w14:paraId="22C751E3" w14:textId="16C4E76B" w:rsidR="00F424CC" w:rsidRPr="004C4720" w:rsidRDefault="00F424CC" w:rsidP="00D70709">
      <w:pPr>
        <w:pStyle w:val="BodyText"/>
        <w:numPr>
          <w:ilvl w:val="0"/>
          <w:numId w:val="24"/>
        </w:numPr>
        <w:ind w:left="700"/>
      </w:pPr>
      <w:r>
        <w:rPr>
          <w:lang w:val="th"/>
        </w:rPr>
        <w:t xml:space="preserve">ได้รับคะแนน ATAR สูงเพียงพอสำหรับการเข้าเรียนในหลักสูตรนั้น ๆ </w:t>
      </w:r>
    </w:p>
    <w:p w14:paraId="539D46F5" w14:textId="77777777" w:rsidR="00F424CC" w:rsidRDefault="00F424CC" w:rsidP="00D70709">
      <w:pPr>
        <w:pStyle w:val="BodyText"/>
        <w:numPr>
          <w:ilvl w:val="0"/>
          <w:numId w:val="24"/>
        </w:numPr>
        <w:ind w:left="700"/>
      </w:pPr>
      <w:r>
        <w:rPr>
          <w:lang w:val="th"/>
        </w:rPr>
        <w:t>มีคุณสมบัติตรงตามเงื่อนไขเบื้องต้นหรือข้อกำหนดพิเศษในการเข้าศึกษาในหลักสูตรนั้น ๆ</w:t>
      </w:r>
    </w:p>
    <w:p w14:paraId="53B80882" w14:textId="77777777" w:rsidR="00F424CC" w:rsidRDefault="00F424CC" w:rsidP="004C3145">
      <w:pPr>
        <w:pStyle w:val="BodyText"/>
        <w:rPr>
          <w:sz w:val="21"/>
        </w:rPr>
      </w:pPr>
    </w:p>
    <w:p w14:paraId="4A59D5CC" w14:textId="691D99E4" w:rsidR="00AB030C" w:rsidRPr="00AB030C" w:rsidRDefault="00AB030C" w:rsidP="00037E99">
      <w:pPr>
        <w:widowControl w:val="0"/>
        <w:autoSpaceDE w:val="0"/>
        <w:autoSpaceDN w:val="0"/>
        <w:spacing w:before="120" w:after="120"/>
        <w:outlineLvl w:val="0"/>
        <w:rPr>
          <w:rFonts w:eastAsia="Arial"/>
          <w:b/>
          <w:bCs/>
          <w:sz w:val="24"/>
          <w:szCs w:val="24"/>
        </w:rPr>
      </w:pPr>
      <w:r w:rsidRPr="003C4436">
        <w:rPr>
          <w:rFonts w:eastAsia="Arial"/>
          <w:b/>
          <w:bCs/>
          <w:sz w:val="24"/>
          <w:szCs w:val="24"/>
          <w:lang w:val="th"/>
        </w:rPr>
        <w:t>ระบบ</w:t>
      </w:r>
      <w:r>
        <w:rPr>
          <w:rFonts w:eastAsia="Arial"/>
          <w:b/>
          <w:bCs/>
          <w:sz w:val="24"/>
          <w:szCs w:val="24"/>
          <w:lang w:val="th"/>
        </w:rPr>
        <w:t xml:space="preserve"> ATAR </w:t>
      </w:r>
      <w:r w:rsidRPr="003C4436">
        <w:rPr>
          <w:rFonts w:eastAsia="Arial"/>
          <w:b/>
          <w:bCs/>
          <w:sz w:val="24"/>
          <w:szCs w:val="24"/>
          <w:lang w:val="th"/>
        </w:rPr>
        <w:t>ที่มีการปรับอันดับการคัดเลือก</w:t>
      </w:r>
    </w:p>
    <w:p w14:paraId="0C8516B7" w14:textId="16031CC7" w:rsidR="00AB030C" w:rsidRPr="00AB030C" w:rsidRDefault="00AB030C" w:rsidP="00366ADE">
      <w:pPr>
        <w:widowControl w:val="0"/>
        <w:autoSpaceDE w:val="0"/>
        <w:autoSpaceDN w:val="0"/>
        <w:spacing w:before="9" w:line="254" w:lineRule="auto"/>
        <w:ind w:right="212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ผู้เรียนบางคนอาจมีสิทธิ์ในการได้รับการปรับอันดับ ATAR อาจมีการปรับอันดับของนักเรียนเพิ่มขึ้นด้วยปัจจัยต่าง ๆ อาทิเช่น:</w:t>
      </w:r>
    </w:p>
    <w:p w14:paraId="325D2065" w14:textId="7978F5B3" w:rsidR="001B0C7F" w:rsidRPr="00AB030C" w:rsidRDefault="00AB030C" w:rsidP="00D70709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line="269" w:lineRule="exact"/>
        <w:ind w:left="701" w:hanging="361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อาศัยอยู่หรือเรียนอยู่ในเขตพื้นที่ที่กำหนด</w:t>
      </w:r>
    </w:p>
    <w:p w14:paraId="215F1C93" w14:textId="77405392" w:rsidR="002F2387" w:rsidRPr="001B0C7F" w:rsidRDefault="00AB030C" w:rsidP="002F2387">
      <w:pPr>
        <w:widowControl w:val="0"/>
        <w:numPr>
          <w:ilvl w:val="0"/>
          <w:numId w:val="18"/>
        </w:numPr>
        <w:tabs>
          <w:tab w:val="left" w:pos="858"/>
          <w:tab w:val="left" w:pos="859"/>
        </w:tabs>
        <w:autoSpaceDE w:val="0"/>
        <w:autoSpaceDN w:val="0"/>
        <w:spacing w:line="268" w:lineRule="exact"/>
        <w:ind w:left="701" w:hanging="361"/>
        <w:rPr>
          <w:rFonts w:eastAsia="Arial"/>
          <w:szCs w:val="22"/>
        </w:rPr>
      </w:pPr>
      <w:r>
        <w:rPr>
          <w:rFonts w:eastAsia="Arial"/>
          <w:szCs w:val="22"/>
          <w:lang w:val="th"/>
        </w:rPr>
        <w:t>เป็นบุคคลแรกในครอบครัวที่จะเข้าเรียนในระดับมหาวิทยาลัย</w:t>
      </w:r>
    </w:p>
    <w:p w14:paraId="1E052703" w14:textId="789A2A8B" w:rsidR="00037E99" w:rsidRDefault="006E2FC1" w:rsidP="004A1E57">
      <w:pPr>
        <w:pStyle w:val="BodyText"/>
        <w:spacing w:before="120" w:after="120" w:line="252" w:lineRule="auto"/>
        <w:ind w:right="212"/>
        <w:rPr>
          <w:b/>
          <w:bCs/>
          <w:sz w:val="24"/>
          <w:szCs w:val="24"/>
        </w:rPr>
        <w:sectPr w:rsidR="00037E99" w:rsidSect="00274C1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1247" w:bottom="709" w:left="1247" w:header="680" w:footer="737" w:gutter="0"/>
          <w:cols w:space="708"/>
          <w:titlePg/>
          <w:docGrid w:linePitch="360"/>
        </w:sectPr>
      </w:pPr>
      <w:r>
        <w:rPr>
          <w:color w:val="000000"/>
          <w:shd w:val="clear" w:color="auto" w:fill="FFFFFF"/>
          <w:lang w:val="th"/>
        </w:rPr>
        <w:t xml:space="preserve">นักเรียนหนึ่งคน อาจมีอันดับการคัดเลือกที่แตกต่างกันออกไปตามแต่ละมหาวิทยาลัย ศูนย์บริการสถาบันระดับอุดมศึกษา (The Tertiary Institutions Service Centre: TISC) จะมีการออกโบรชัวร์แนะนำการสมัครมหาวิทยาลัยที่ออกทุกปี ซึ่งบอกทั้งคุณสมบัติที่ต้องใช้และทางเลือกต่าง ๆ ในการเข้าศึกษา: </w:t>
      </w:r>
      <w:hyperlink r:id="rId16" w:history="1">
        <w:r>
          <w:rPr>
            <w:rStyle w:val="Hyperlink"/>
            <w:shd w:val="clear" w:color="auto" w:fill="FFFFFF"/>
            <w:lang w:val="th"/>
          </w:rPr>
          <w:t>https://tisc.edu.au/static/guide/download.tisc</w:t>
        </w:r>
      </w:hyperlink>
      <w:r>
        <w:rPr>
          <w:color w:val="000000"/>
          <w:shd w:val="clear" w:color="auto" w:fill="FFFFFF"/>
          <w:lang w:val="th"/>
        </w:rPr>
        <w:t xml:space="preserve"> </w:t>
      </w:r>
    </w:p>
    <w:p w14:paraId="46B66F2A" w14:textId="77777777" w:rsidR="00037E99" w:rsidRDefault="00037E99" w:rsidP="00037E99">
      <w:pPr>
        <w:widowControl w:val="0"/>
        <w:autoSpaceDE w:val="0"/>
        <w:autoSpaceDN w:val="0"/>
        <w:spacing w:before="240" w:after="120" w:line="268" w:lineRule="exact"/>
        <w:rPr>
          <w:rFonts w:eastAsia="Arial"/>
          <w:b/>
          <w:bCs/>
          <w:sz w:val="24"/>
          <w:szCs w:val="24"/>
        </w:rPr>
        <w:sectPr w:rsidR="00037E99" w:rsidSect="00037E99">
          <w:type w:val="continuous"/>
          <w:pgSz w:w="11906" w:h="16838"/>
          <w:pgMar w:top="709" w:right="1247" w:bottom="709" w:left="1247" w:header="680" w:footer="737" w:gutter="0"/>
          <w:cols w:space="708"/>
          <w:titlePg/>
          <w:docGrid w:linePitch="360"/>
        </w:sectPr>
      </w:pPr>
    </w:p>
    <w:p w14:paraId="23B5DAF1" w14:textId="77777777" w:rsidR="0070116B" w:rsidRDefault="0070116B" w:rsidP="004C3145">
      <w:pPr>
        <w:pStyle w:val="BodyText"/>
        <w:spacing w:before="5"/>
        <w:rPr>
          <w:b/>
          <w:bCs/>
        </w:rPr>
      </w:pPr>
    </w:p>
    <w:p w14:paraId="77FCC099" w14:textId="2375F630" w:rsidR="00291390" w:rsidRPr="00291390" w:rsidRDefault="00291390" w:rsidP="00037E99">
      <w:pPr>
        <w:pStyle w:val="BodyText"/>
        <w:spacing w:before="120" w:after="60" w:line="254" w:lineRule="auto"/>
        <w:ind w:right="2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h"/>
        </w:rPr>
        <w:t>หลักสูตรเตรียมความพร้อมเข้ามหาวิทยาลัย</w:t>
      </w:r>
    </w:p>
    <w:p w14:paraId="759740C7" w14:textId="77777777" w:rsidR="00F520DD" w:rsidRDefault="00291390" w:rsidP="004C3145">
      <w:pPr>
        <w:pStyle w:val="BodyText"/>
        <w:spacing w:after="120"/>
      </w:pPr>
      <w:r>
        <w:rPr>
          <w:lang w:val="th"/>
        </w:rPr>
        <w:t xml:space="preserve">หลักสูตรเตรียมความพร้อมเข้ามหาวิทยาลัยถูกออกแบบมาเพื่อเตรียมความพร้อมให้มีคุณสมบัติเพียงพอสำหรับการเข้าศึกษาต่อในหลักสูตรปริญญาตรีสาขาต่าง ๆ  หลักสูตรเหล่านี้จะพัฒนาทักษะต่าง ๆ ที่จำเป็นในการประสบความสำเร็จในการเรียนในระดับมหาวิทยาลัย อาทิ การทำวิจัยทางวิชาการ การเขียน การคิดคำนวณ และทักษะการคิดวิเคราะห์ </w:t>
      </w:r>
    </w:p>
    <w:p w14:paraId="29910771" w14:textId="5AA7443E" w:rsidR="00D47A10" w:rsidRDefault="00D537D1" w:rsidP="004C3145">
      <w:pPr>
        <w:pStyle w:val="BodyText"/>
        <w:spacing w:after="120"/>
      </w:pPr>
      <w:r>
        <w:rPr>
          <w:lang w:val="th"/>
        </w:rPr>
        <w:t xml:space="preserve">หลักสูตรเตรียมความพร้อม เปิดให้เรียนฟรีสำหรับนักเรียนที่จบการศึกษาจากโรงเรียนและเป็นพลเมืองของประเทศออสเตรเลีย แต่สำหรับผู้ที่ไม่ใช่พลเมือง เงื่อนไขสิทธิ์ในการเข้าเรียนและค่าใช้จ่าย อาจแตกต่างกันไป 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3281"/>
        <w:gridCol w:w="6353"/>
      </w:tblGrid>
      <w:tr w:rsidR="0017211A" w14:paraId="1C81019A" w14:textId="77777777" w:rsidTr="0003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1A59066B" w14:textId="77777777" w:rsidR="0017211A" w:rsidRDefault="0017211A" w:rsidP="004C314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7968" w:type="dxa"/>
          </w:tcPr>
          <w:p w14:paraId="6457EF37" w14:textId="1952AD8D" w:rsidR="0017211A" w:rsidRDefault="0017211A" w:rsidP="004C314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17211A" w14:paraId="69DB1F57" w14:textId="77777777" w:rsidTr="00F70FDB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1C2724A6" w14:textId="77777777" w:rsidR="0017211A" w:rsidRDefault="0017211A" w:rsidP="00F70FDB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7968" w:type="dxa"/>
            <w:vAlign w:val="center"/>
          </w:tcPr>
          <w:p w14:paraId="20E921C0" w14:textId="4969F964" w:rsidR="0017211A" w:rsidRDefault="0017211A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 xml:space="preserve">Uniready (ยูนิเรดี้) </w:t>
            </w:r>
          </w:p>
          <w:p w14:paraId="24B5B485" w14:textId="2E5B7D3C" w:rsidR="00DD2F96" w:rsidRDefault="0017211A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>
                <w:rPr>
                  <w:rStyle w:val="Hyperlink"/>
                  <w:lang w:val="th"/>
                </w:rPr>
                <w:t>https://www.curtin.edu.au/study/applying/pathways/uniready-enabling-program/</w:t>
              </w:r>
            </w:hyperlink>
            <w:r>
              <w:rPr>
                <w:lang w:val="th"/>
              </w:rPr>
              <w:t xml:space="preserve">  </w:t>
            </w:r>
          </w:p>
        </w:tc>
      </w:tr>
      <w:tr w:rsidR="0017211A" w:rsidRPr="005904BE" w14:paraId="20928509" w14:textId="77777777" w:rsidTr="00F70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164E4252" w14:textId="77777777" w:rsidR="0017211A" w:rsidRDefault="0017211A" w:rsidP="00F70FDB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7968" w:type="dxa"/>
            <w:vAlign w:val="center"/>
          </w:tcPr>
          <w:p w14:paraId="369F0886" w14:textId="08B4070E" w:rsidR="0017211A" w:rsidRDefault="0017211A" w:rsidP="00F70FDB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h"/>
              </w:rPr>
              <w:t>UniPrep (ยูนิเพรพ)</w:t>
            </w:r>
          </w:p>
          <w:p w14:paraId="26979742" w14:textId="49A579CA" w:rsidR="0017211A" w:rsidRPr="00FD22D7" w:rsidRDefault="0017211A" w:rsidP="00F70FDB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18" w:history="1">
              <w:r>
                <w:rPr>
                  <w:rStyle w:val="Hyperlink"/>
                  <w:lang w:val="th"/>
                </w:rPr>
                <w:t>https://www.ecu.edu.au/degrees/uniprep</w:t>
              </w:r>
            </w:hyperlink>
          </w:p>
        </w:tc>
      </w:tr>
      <w:tr w:rsidR="0017211A" w14:paraId="3C7AA1AB" w14:textId="77777777" w:rsidTr="00F70FDB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30067DBE" w14:textId="77777777" w:rsidR="0017211A" w:rsidRDefault="0017211A" w:rsidP="00F70FDB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7968" w:type="dxa"/>
            <w:vAlign w:val="center"/>
          </w:tcPr>
          <w:p w14:paraId="7B85279B" w14:textId="37BDB9C8" w:rsidR="0017211A" w:rsidRPr="00BE43AE" w:rsidRDefault="0017211A" w:rsidP="004E3938">
            <w:pPr>
              <w:pStyle w:val="TableParagraph"/>
              <w:tabs>
                <w:tab w:val="left" w:pos="828"/>
                <w:tab w:val="left" w:pos="829"/>
              </w:tabs>
              <w:spacing w:before="0" w:line="255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hd w:val="clear" w:color="auto" w:fill="FFFFFF"/>
                <w:lang w:val="th"/>
              </w:rPr>
              <w:t>OnTrack (ออนแทร็ก)</w:t>
            </w:r>
          </w:p>
          <w:p w14:paraId="797C9C07" w14:textId="035D215D" w:rsidR="00576207" w:rsidRPr="00F70FDB" w:rsidRDefault="00576207" w:rsidP="00F70FDB">
            <w:pPr>
              <w:pStyle w:val="TableParagraph"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hyperlink r:id="rId19" w:history="1">
              <w:r>
                <w:rPr>
                  <w:rStyle w:val="Hyperlink"/>
                  <w:lang w:val="th"/>
                </w:rPr>
                <w:t>https://www.murdoch.edu.au/study/pathways-to-uni/enabling-pathways</w:t>
              </w:r>
            </w:hyperlink>
          </w:p>
        </w:tc>
      </w:tr>
      <w:tr w:rsidR="0017211A" w14:paraId="4A032E2F" w14:textId="77777777" w:rsidTr="00F70F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Align w:val="center"/>
          </w:tcPr>
          <w:p w14:paraId="4798F0F7" w14:textId="77777777" w:rsidR="0017211A" w:rsidRPr="00A871DC" w:rsidRDefault="0017211A" w:rsidP="00F70FDB">
            <w:pPr>
              <w:pStyle w:val="BodyText"/>
              <w:spacing w:before="5"/>
              <w:rPr>
                <w:bCs w:val="0"/>
                <w:spacing w:val="-2"/>
              </w:rPr>
            </w:pPr>
            <w:r>
              <w:rPr>
                <w:lang w:val="th"/>
              </w:rPr>
              <w:t>มหาวิทยาลัยนอเทรอดาม</w:t>
            </w:r>
          </w:p>
        </w:tc>
        <w:tc>
          <w:tcPr>
            <w:tcW w:w="7968" w:type="dxa"/>
            <w:vAlign w:val="center"/>
          </w:tcPr>
          <w:p w14:paraId="14CAFAC6" w14:textId="5502E91B" w:rsidR="0017211A" w:rsidRDefault="0017211A" w:rsidP="00F70FDB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lang w:val="th"/>
              </w:rPr>
              <w:t>โปรแกรมเส้นทางการศึกษาต่อในระดับอุดมศึกษา</w:t>
            </w:r>
            <w:r>
              <w:rPr>
                <w:b/>
                <w:bCs/>
                <w:lang w:val="th"/>
              </w:rPr>
              <w:t xml:space="preserve"> (TPP) </w:t>
            </w:r>
            <w:hyperlink r:id="rId20" w:history="1">
              <w:r>
                <w:rPr>
                  <w:rStyle w:val="Hyperlink"/>
                  <w:lang w:val="th"/>
                </w:rPr>
                <w:t>https://www.notredame.edu.au/study/pathways/tertiary-pathway-program</w:t>
              </w:r>
            </w:hyperlink>
          </w:p>
        </w:tc>
      </w:tr>
      <w:tr w:rsidR="00347DBB" w14:paraId="08611D7E" w14:textId="77777777" w:rsidTr="004E3938">
        <w:trPr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FFFFF" w:themeFill="background1"/>
            <w:vAlign w:val="center"/>
          </w:tcPr>
          <w:p w14:paraId="0B4F0D92" w14:textId="2356200A" w:rsidR="00347DBB" w:rsidRPr="00A871DC" w:rsidRDefault="00347DBB" w:rsidP="00F70FDB">
            <w:pPr>
              <w:pStyle w:val="BodyText"/>
              <w:spacing w:before="5"/>
              <w:rPr>
                <w:spacing w:val="-2"/>
              </w:rPr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0" w:type="dxa"/>
            <w:shd w:val="clear" w:color="auto" w:fill="FFFFFF" w:themeFill="background1"/>
            <w:vAlign w:val="center"/>
          </w:tcPr>
          <w:p w14:paraId="3516AB75" w14:textId="77777777" w:rsidR="00347DBB" w:rsidRDefault="00347DBB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มหาวิทยาลัยเวสเทิร์นออสเตรเลีย (The University of Western Australia) เปิดรับนักเรียนที่สำเร็จหลักสูตรเตรียมความพร้อม (enabling programs) จากมหาวิทยาลัยในออสเตรเลียหรือวิทยาลัยในเครือ โดยจะต้องมีคะแนนเฉลี่ยแบบถ่วงน้ำหนัก (Weighted Average Mark: WAM) สุดท้ายไม่ต่ำกว่า 65%</w:t>
            </w:r>
          </w:p>
          <w:p w14:paraId="72C84738" w14:textId="44E2C581" w:rsidR="006261DA" w:rsidRDefault="006261DA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>
                <w:rPr>
                  <w:rStyle w:val="Hyperlink"/>
                  <w:lang w:val="th"/>
                </w:rPr>
                <w:t>https://www.uwa.edu.au/study/how-to-apply/admission-entry-pathways/enabling-programs</w:t>
              </w:r>
            </w:hyperlink>
            <w:r>
              <w:rPr>
                <w:lang w:val="th"/>
              </w:rPr>
              <w:t xml:space="preserve">  </w:t>
            </w:r>
          </w:p>
        </w:tc>
      </w:tr>
    </w:tbl>
    <w:p w14:paraId="31B91543" w14:textId="77777777" w:rsidR="00F70FDB" w:rsidRDefault="00F70FDB" w:rsidP="00F70FDB">
      <w:pPr>
        <w:spacing w:after="60"/>
        <w:rPr>
          <w:b/>
          <w:bCs/>
          <w:sz w:val="24"/>
          <w:szCs w:val="24"/>
        </w:rPr>
      </w:pPr>
    </w:p>
    <w:p w14:paraId="7A83545F" w14:textId="313AA42D" w:rsidR="00CC54CA" w:rsidRPr="00BE43AE" w:rsidRDefault="00CC54CA" w:rsidP="00037E99">
      <w:pPr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h"/>
        </w:rPr>
        <w:t>คุณวุฒิการศึกษาและการฝึกอบรมวิชาชีพ (VET)</w:t>
      </w:r>
    </w:p>
    <w:p w14:paraId="2B655608" w14:textId="73D46355" w:rsidR="00F321C6" w:rsidRDefault="00553638" w:rsidP="00CC54CA">
      <w:pPr>
        <w:pStyle w:val="BodyText"/>
        <w:spacing w:before="5" w:after="120"/>
      </w:pPr>
      <w:r>
        <w:rPr>
          <w:lang w:val="th"/>
        </w:rPr>
        <w:t>คุณวุฒิการศึกษาและการฝึกอบรมวิชาชีพ (VET) สามารถใช้เป็นเส้นทางที่เยี่ยมยอดในการเข้าศึกษาต่อในระดับอุดมศึกษาได้ นักเรียนสามารถใช้คุณวุฒิของ VET เพื่อผ่านเกณฑ์ขั้นต่ำในการเข้าศึกษาต่อในระดับปริญญาตรีในหลักสูตรต่าง ๆ ได้ คุณวุฒิของ VET ที่เกี่ยวข้อง ยังอาจสามารถนำไปใช้เพื่อขอยกเว้นรายวิชา หรือรับโอนหน่วยกิตได้ โดยเป็นการรับรองทักษะและความรู้ที่ได้จากการฝึกอบรมวิชาชีพ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3281"/>
        <w:gridCol w:w="6353"/>
      </w:tblGrid>
      <w:tr w:rsidR="00CC54CA" w14:paraId="315846CC" w14:textId="77777777" w:rsidTr="00037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07583BA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8231" w:type="dxa"/>
          </w:tcPr>
          <w:p w14:paraId="474B5DBF" w14:textId="77777777" w:rsidR="00CC54CA" w:rsidRDefault="00CC54CA" w:rsidP="00FD5DE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CC54CA" w14:paraId="57A0F31A" w14:textId="77777777" w:rsidTr="00037E99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2A0D4DB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8231" w:type="dxa"/>
            <w:vAlign w:val="center"/>
          </w:tcPr>
          <w:p w14:paraId="0F1299BF" w14:textId="77777777" w:rsidR="00CC54CA" w:rsidRDefault="00CC54CA" w:rsidP="00281F10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>
                <w:rPr>
                  <w:rStyle w:val="Hyperlink"/>
                  <w:lang w:val="th"/>
                </w:rPr>
                <w:t>https://www.curtin.edu.au/study/applying/pathways/tafe-vet/</w:t>
              </w:r>
            </w:hyperlink>
            <w:r>
              <w:rPr>
                <w:lang w:val="th"/>
              </w:rPr>
              <w:t xml:space="preserve"> </w:t>
            </w:r>
          </w:p>
        </w:tc>
      </w:tr>
      <w:tr w:rsidR="00CC54CA" w14:paraId="48BA1C91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549B078F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8231" w:type="dxa"/>
            <w:vAlign w:val="center"/>
          </w:tcPr>
          <w:p w14:paraId="6C59B678" w14:textId="31424A15" w:rsidR="00CC54CA" w:rsidRPr="00BE43AE" w:rsidRDefault="00CC54CA" w:rsidP="00281F10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462C1"/>
                <w:spacing w:val="-2"/>
                <w:u w:val="single" w:color="0462C1"/>
              </w:rPr>
            </w:pPr>
            <w:hyperlink r:id="rId23">
              <w:r>
                <w:rPr>
                  <w:color w:val="0462C1"/>
                  <w:u w:val="single"/>
                  <w:lang w:val="th"/>
                </w:rPr>
                <w:t>https://www.ecu.edu.au/future-students/course-entry</w:t>
              </w:r>
            </w:hyperlink>
          </w:p>
        </w:tc>
      </w:tr>
      <w:tr w:rsidR="00CC54CA" w14:paraId="3E18FA0D" w14:textId="77777777" w:rsidTr="00037E99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6E6D3FF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8231" w:type="dxa"/>
            <w:vAlign w:val="center"/>
          </w:tcPr>
          <w:p w14:paraId="280760CA" w14:textId="0FC5DFE2" w:rsidR="00CC54CA" w:rsidRDefault="00CC54CA" w:rsidP="00037E99">
            <w:pPr>
              <w:widowControl w:val="0"/>
              <w:autoSpaceDE w:val="0"/>
              <w:autoSpaceDN w:val="0"/>
              <w:spacing w:before="3" w:line="25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>
                <w:rPr>
                  <w:rStyle w:val="Hyperlink"/>
                  <w:rFonts w:eastAsia="Arial"/>
                  <w:szCs w:val="22"/>
                  <w:lang w:val="th"/>
                </w:rPr>
                <w:t>https://www.murdoch.edu.au/study/pathways-to-uni/vocational-education-and-training</w:t>
              </w:r>
            </w:hyperlink>
          </w:p>
        </w:tc>
      </w:tr>
      <w:tr w:rsidR="00CC54CA" w14:paraId="73B28EC5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5F3DA84D" w14:textId="77777777" w:rsidR="00CC54CA" w:rsidRPr="00A871DC" w:rsidRDefault="00CC54CA" w:rsidP="00FD5DE5">
            <w:pPr>
              <w:pStyle w:val="BodyText"/>
              <w:spacing w:before="5"/>
              <w:rPr>
                <w:bCs w:val="0"/>
                <w:spacing w:val="-2"/>
              </w:rPr>
            </w:pPr>
            <w:r>
              <w:rPr>
                <w:lang w:val="th"/>
              </w:rPr>
              <w:lastRenderedPageBreak/>
              <w:t>มหาวิทยาลัยนอเทรอดาม</w:t>
            </w:r>
          </w:p>
        </w:tc>
        <w:tc>
          <w:tcPr>
            <w:tcW w:w="8231" w:type="dxa"/>
            <w:vAlign w:val="center"/>
          </w:tcPr>
          <w:p w14:paraId="5B6E7B2C" w14:textId="77777777" w:rsidR="00CC54CA" w:rsidRDefault="00CC54CA" w:rsidP="00281F10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spacing w:val="-2"/>
                <w:u w:val="single" w:color="0462C1"/>
              </w:rPr>
            </w:pPr>
            <w:hyperlink r:id="rId25" w:history="1">
              <w:r>
                <w:rPr>
                  <w:rStyle w:val="Hyperlink"/>
                  <w:lang w:val="th"/>
                </w:rPr>
                <w:t>https://www.notredame.edu.au/study/applications-and-admissions/pathways/other-entry-pathways</w:t>
              </w:r>
            </w:hyperlink>
            <w:r>
              <w:rPr>
                <w:lang w:val="th"/>
              </w:rPr>
              <w:t xml:space="preserve"> </w:t>
            </w:r>
          </w:p>
          <w:p w14:paraId="387821B9" w14:textId="5AAFD570" w:rsidR="00CC54CA" w:rsidRDefault="00CC54CA" w:rsidP="00281F10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C54CA" w14:paraId="1228D91E" w14:textId="77777777" w:rsidTr="00037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  <w:vAlign w:val="center"/>
          </w:tcPr>
          <w:p w14:paraId="241C103B" w14:textId="77777777" w:rsidR="00CC54CA" w:rsidRDefault="00CC54CA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8231" w:type="dxa"/>
            <w:vAlign w:val="center"/>
          </w:tcPr>
          <w:p w14:paraId="2B08F842" w14:textId="2EB2E51A" w:rsidR="00CC54CA" w:rsidRDefault="00CC54CA" w:rsidP="00281F10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>
                <w:rPr>
                  <w:rStyle w:val="Hyperlink"/>
                  <w:lang w:val="th"/>
                </w:rPr>
                <w:t>https://www.uwa.edu.au/study/how-to-apply/entry-standards</w:t>
              </w:r>
            </w:hyperlink>
          </w:p>
        </w:tc>
      </w:tr>
    </w:tbl>
    <w:p w14:paraId="1E02C0FF" w14:textId="77777777" w:rsidR="006219B3" w:rsidRDefault="006219B3" w:rsidP="00F70FDB">
      <w:pPr>
        <w:spacing w:after="60"/>
        <w:rPr>
          <w:b/>
          <w:bCs/>
          <w:sz w:val="24"/>
          <w:szCs w:val="24"/>
        </w:rPr>
        <w:sectPr w:rsidR="006219B3" w:rsidSect="00AC77DE">
          <w:headerReference w:type="first" r:id="rId27"/>
          <w:footerReference w:type="first" r:id="rId28"/>
          <w:pgSz w:w="11906" w:h="16838"/>
          <w:pgMar w:top="709" w:right="1247" w:bottom="709" w:left="1247" w:header="680" w:footer="567" w:gutter="0"/>
          <w:cols w:space="708"/>
          <w:titlePg/>
          <w:docGrid w:linePitch="360"/>
        </w:sectPr>
      </w:pPr>
    </w:p>
    <w:p w14:paraId="44CAE880" w14:textId="42AAE71F" w:rsidR="00291390" w:rsidRPr="00291390" w:rsidRDefault="00291390" w:rsidP="00F70FDB">
      <w:pPr>
        <w:spacing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h"/>
        </w:rPr>
        <w:t>การยื่นแฟ้มผลงาน</w:t>
      </w:r>
    </w:p>
    <w:p w14:paraId="539632D5" w14:textId="5E3C506F" w:rsidR="00F321C6" w:rsidRDefault="00291390" w:rsidP="00037E99">
      <w:pPr>
        <w:spacing w:after="240"/>
      </w:pPr>
      <w:r>
        <w:rPr>
          <w:lang w:val="th"/>
        </w:rPr>
        <w:t xml:space="preserve">นักเรียนอาจได้รับการพิจารณาเข้าศึกษาในระดับปริญญาตรีในบางหลักสูตร โดยอาศัยการยื่นแฟ้มผลงานที่แสดงถึงความสำเร็จด้านการศึกษา คุณวุฒิ ความสามารถ และความเหมาะสม สำหรับการศึกษาในระดับอุดมศึกษา </w:t>
      </w:r>
    </w:p>
    <w:p w14:paraId="541DB3B5" w14:textId="2876061D" w:rsidR="00355F8F" w:rsidRDefault="00355F8F" w:rsidP="00037E99">
      <w:pPr>
        <w:pStyle w:val="BodyText"/>
        <w:spacing w:before="120" w:after="120"/>
      </w:pPr>
      <w:hyperlink r:id="rId29">
        <w:r>
          <w:rPr>
            <w:lang w:val="th"/>
          </w:rPr>
          <w:t>มี</w:t>
        </w:r>
      </w:hyperlink>
      <w:r>
        <w:rPr>
          <w:lang w:val="th"/>
        </w:rPr>
        <w:t xml:space="preserve">หลากหลายหลักสูตรที่้เปิดรับสมัครคัดเลือกโดยใช้แฟ้มผลงาน โดยบางหลักสูตรอาจมีเกณฑ์การคัดเลือกที่เฉพาะเจาะจงเพิ่มเติม ตามแต่ละหลักสูตร 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291390" w14:paraId="432863E4" w14:textId="77777777" w:rsidTr="009F3F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69D9DC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8079" w:type="dxa"/>
          </w:tcPr>
          <w:p w14:paraId="38D7A02B" w14:textId="77777777" w:rsidR="00291390" w:rsidRDefault="00291390" w:rsidP="004C314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291390" w14:paraId="53DB8BC4" w14:textId="77777777" w:rsidTr="00037E9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7F8D0C99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8079" w:type="dxa"/>
            <w:vAlign w:val="center"/>
          </w:tcPr>
          <w:p w14:paraId="0711E06E" w14:textId="1CE9E168" w:rsidR="00291390" w:rsidRDefault="00291390" w:rsidP="00037E99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>
                <w:rPr>
                  <w:rStyle w:val="Hyperlink"/>
                  <w:lang w:val="th"/>
                </w:rPr>
                <w:t>https://study.curtin.edu.au/applying/pathways/portfolio-entry</w:t>
              </w:r>
            </w:hyperlink>
          </w:p>
        </w:tc>
      </w:tr>
      <w:tr w:rsidR="00291390" w:rsidRPr="00FD22D7" w14:paraId="4E81400E" w14:textId="77777777" w:rsidTr="00037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288DB3B3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8079" w:type="dxa"/>
            <w:vAlign w:val="center"/>
          </w:tcPr>
          <w:p w14:paraId="593B2EDA" w14:textId="67E24947" w:rsidR="00291390" w:rsidRPr="00FD22D7" w:rsidRDefault="00C52878" w:rsidP="00037E99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31" w:history="1">
              <w:r>
                <w:rPr>
                  <w:rStyle w:val="Hyperlink"/>
                  <w:lang w:val="th"/>
                </w:rPr>
                <w:t>https://www.ecu.edu.au/future-students/course-entry/creative-arts-portfolio-entry</w:t>
              </w:r>
            </w:hyperlink>
            <w:r>
              <w:rPr>
                <w:lang w:val="th"/>
              </w:rPr>
              <w:t xml:space="preserve">   </w:t>
            </w:r>
          </w:p>
        </w:tc>
      </w:tr>
      <w:tr w:rsidR="00291390" w14:paraId="304E7DD8" w14:textId="77777777" w:rsidTr="00037E99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4F833147" w14:textId="77777777" w:rsidR="00291390" w:rsidRDefault="00291390" w:rsidP="00037E99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8079" w:type="dxa"/>
            <w:vAlign w:val="center"/>
          </w:tcPr>
          <w:p w14:paraId="4636685C" w14:textId="62E60CDA" w:rsidR="007252A8" w:rsidRDefault="000C30B6" w:rsidP="00037E9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  <w:tab w:val="left" w:pos="829"/>
              </w:tabs>
              <w:spacing w:before="0" w:line="252" w:lineRule="auto"/>
              <w:ind w:left="0" w:right="4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>
                <w:rPr>
                  <w:rStyle w:val="Hyperlink"/>
                  <w:lang w:val="th"/>
                </w:rPr>
                <w:t>https://www.murdoch.edu.au/study/pathways-to-uni/enabling-pathways/experience-based-entry/media-portfolio</w:t>
              </w:r>
            </w:hyperlink>
            <w:r>
              <w:rPr>
                <w:lang w:val="th"/>
              </w:rPr>
              <w:t xml:space="preserve"> </w:t>
            </w:r>
          </w:p>
        </w:tc>
      </w:tr>
    </w:tbl>
    <w:p w14:paraId="739A2016" w14:textId="77777777" w:rsidR="00194F5F" w:rsidRDefault="00194F5F" w:rsidP="004C3145">
      <w:bookmarkStart w:id="2" w:name="_Hlk190767647"/>
    </w:p>
    <w:bookmarkEnd w:id="2"/>
    <w:p w14:paraId="4DCB43F0" w14:textId="25AAB6EA" w:rsidR="00296F74" w:rsidRDefault="00773BC6" w:rsidP="00F70FDB">
      <w:pPr>
        <w:spacing w:before="120" w:after="60" w:line="259" w:lineRule="auto"/>
        <w:rPr>
          <w:rFonts w:eastAsia="Arial"/>
          <w:b/>
          <w:bCs/>
          <w:spacing w:val="-2"/>
          <w:sz w:val="24"/>
          <w:szCs w:val="24"/>
        </w:rPr>
      </w:pPr>
      <w:r>
        <w:rPr>
          <w:rFonts w:eastAsia="Arial"/>
          <w:b/>
          <w:bCs/>
          <w:sz w:val="24"/>
          <w:szCs w:val="24"/>
          <w:lang w:val="th"/>
        </w:rPr>
        <w:t>เส้นทางการศึกษาต่อและการสนับสนุนสำหรับนักเรียนชาวอะบอริจินและชาวเกาะช่องแคบทอร์เรส</w:t>
      </w:r>
    </w:p>
    <w:p w14:paraId="5FF3D6A9" w14:textId="596FCCEB" w:rsidR="00296F74" w:rsidRPr="00BE43AE" w:rsidRDefault="00296F74" w:rsidP="00F70FDB">
      <w:pPr>
        <w:spacing w:after="120" w:line="259" w:lineRule="auto"/>
        <w:rPr>
          <w:rFonts w:eastAsia="Arial"/>
          <w:b/>
          <w:bCs/>
          <w:spacing w:val="-2"/>
        </w:rPr>
      </w:pPr>
      <w:r>
        <w:rPr>
          <w:szCs w:val="22"/>
          <w:lang w:val="th"/>
        </w:rPr>
        <w:t xml:space="preserve">มหาวิทยาลัยต่าง ๆ ได้มีการมอบช่องทางเตรียมความพร้อมเฉพาะทางที่ออกแบบมาเฉพาะเพื่อสนับสนุนนักเรียนชาวอะบอริจินและชาวเกาะช่องแคบทอร์เรส เพื่อสนับสนุนทั้งตัวบุคคลและชุมชนของพวกเขาในการบรรลุเป้าหมายทางการศึกษา </w:t>
      </w:r>
    </w:p>
    <w:tbl>
      <w:tblPr>
        <w:tblStyle w:val="DOETable1"/>
        <w:tblW w:w="9639" w:type="dxa"/>
        <w:tblInd w:w="-5" w:type="dxa"/>
        <w:tblLook w:val="04A0" w:firstRow="1" w:lastRow="0" w:firstColumn="1" w:lastColumn="0" w:noHBand="0" w:noVBand="1"/>
      </w:tblPr>
      <w:tblGrid>
        <w:gridCol w:w="3281"/>
        <w:gridCol w:w="6358"/>
      </w:tblGrid>
      <w:tr w:rsidR="00773BC6" w14:paraId="7D058D69" w14:textId="77777777" w:rsidTr="00FD5D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3E2C3BA3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7512" w:type="dxa"/>
          </w:tcPr>
          <w:p w14:paraId="41F8B35B" w14:textId="77777777" w:rsidR="00773BC6" w:rsidRDefault="00773BC6" w:rsidP="00FD5DE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773BC6" w14:paraId="21B7C93A" w14:textId="77777777" w:rsidTr="00F564E3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90EEFCD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เคอร์ติน</w:t>
            </w:r>
          </w:p>
        </w:tc>
        <w:tc>
          <w:tcPr>
            <w:tcW w:w="7512" w:type="dxa"/>
            <w:vAlign w:val="center"/>
          </w:tcPr>
          <w:p w14:paraId="37C528B7" w14:textId="77777777" w:rsidR="00773BC6" w:rsidRDefault="00FD5DE5" w:rsidP="00037E99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3" w:history="1">
              <w:r>
                <w:rPr>
                  <w:rStyle w:val="Hyperlink"/>
                  <w:shd w:val="clear" w:color="auto" w:fill="FFFFFF"/>
                  <w:lang w:val="th"/>
                </w:rPr>
                <w:t>https://karda.curtin.edu.au/study/enabling-courses</w:t>
              </w:r>
            </w:hyperlink>
          </w:p>
        </w:tc>
      </w:tr>
      <w:tr w:rsidR="00773BC6" w:rsidRPr="005904BE" w14:paraId="7BED888C" w14:textId="77777777" w:rsidTr="00F564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2AF7A42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7512" w:type="dxa"/>
            <w:vAlign w:val="center"/>
          </w:tcPr>
          <w:p w14:paraId="1D45056B" w14:textId="77777777" w:rsidR="00773BC6" w:rsidRPr="005904BE" w:rsidRDefault="00FD5DE5" w:rsidP="00037E99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hyperlink r:id="rId34" w:history="1">
              <w:r>
                <w:rPr>
                  <w:rStyle w:val="Hyperlink"/>
                  <w:lang w:val="th"/>
                </w:rPr>
                <w:t>https://www.ecu.edu.au/degrees/aboriginal-and-or-torres-strait-islanders</w:t>
              </w:r>
            </w:hyperlink>
            <w:r>
              <w:rPr>
                <w:lang w:val="th"/>
              </w:rPr>
              <w:t xml:space="preserve">  </w:t>
            </w:r>
          </w:p>
        </w:tc>
      </w:tr>
      <w:tr w:rsidR="00773BC6" w14:paraId="451A7F86" w14:textId="77777777" w:rsidTr="00F564E3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29C6947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7512" w:type="dxa"/>
            <w:vAlign w:val="center"/>
          </w:tcPr>
          <w:p w14:paraId="257FC3E7" w14:textId="30C4E35E" w:rsidR="00773BC6" w:rsidRDefault="00773BC6" w:rsidP="00037E99">
            <w:pPr>
              <w:pStyle w:val="TableParagraph"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lang w:val="th"/>
              </w:rPr>
              <w:t>K-Track (เค-แทร็ก)</w:t>
            </w:r>
          </w:p>
          <w:p w14:paraId="318B391B" w14:textId="752FFA43" w:rsidR="00773BC6" w:rsidRDefault="00D4034E" w:rsidP="00037E99">
            <w:pPr>
              <w:pStyle w:val="TableParagraph"/>
              <w:spacing w:before="12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>
                <w:rPr>
                  <w:rStyle w:val="Hyperlink"/>
                  <w:lang w:val="th"/>
                </w:rPr>
                <w:t>https://www.murdoch.edu.au/course/Enabling/N1077</w:t>
              </w:r>
            </w:hyperlink>
            <w:r>
              <w:rPr>
                <w:lang w:val="th"/>
              </w:rPr>
              <w:t xml:space="preserve"> </w:t>
            </w:r>
          </w:p>
        </w:tc>
      </w:tr>
      <w:tr w:rsidR="00773BC6" w14:paraId="1794CECC" w14:textId="77777777" w:rsidTr="00F564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49B12CB" w14:textId="77777777" w:rsidR="00773BC6" w:rsidRPr="00A871DC" w:rsidRDefault="00773BC6" w:rsidP="00FD5DE5">
            <w:pPr>
              <w:pStyle w:val="BodyText"/>
              <w:spacing w:before="5"/>
              <w:rPr>
                <w:bCs w:val="0"/>
                <w:spacing w:val="-2"/>
              </w:rPr>
            </w:pPr>
            <w:r>
              <w:rPr>
                <w:lang w:val="th"/>
              </w:rPr>
              <w:t>มหาวิทยาลัยนอเทรอดาม</w:t>
            </w:r>
          </w:p>
        </w:tc>
        <w:tc>
          <w:tcPr>
            <w:tcW w:w="7512" w:type="dxa"/>
            <w:vAlign w:val="center"/>
          </w:tcPr>
          <w:p w14:paraId="0D6C8772" w14:textId="77777777" w:rsidR="00773BC6" w:rsidRPr="003E1590" w:rsidRDefault="00FD5DE5" w:rsidP="00037E99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spacing w:val="-2"/>
                <w:u w:val="single" w:color="0462C1"/>
              </w:rPr>
            </w:pPr>
            <w:hyperlink r:id="rId36" w:history="1">
              <w:r>
                <w:rPr>
                  <w:rStyle w:val="Hyperlink"/>
                  <w:lang w:val="th"/>
                </w:rPr>
                <w:t>https://www.notredame.edu.au/students/support/aboriginal-and-torres-strait-islander-support</w:t>
              </w:r>
            </w:hyperlink>
            <w:r>
              <w:rPr>
                <w:lang w:val="th"/>
              </w:rPr>
              <w:t xml:space="preserve"> </w:t>
            </w:r>
          </w:p>
        </w:tc>
      </w:tr>
      <w:tr w:rsidR="00773BC6" w14:paraId="06463145" w14:textId="77777777" w:rsidTr="00F564E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42CE2C4B" w14:textId="77777777" w:rsidR="00773BC6" w:rsidRDefault="00773BC6" w:rsidP="00FD5DE5">
            <w:pPr>
              <w:pStyle w:val="BodyText"/>
              <w:spacing w:before="5"/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7512" w:type="dxa"/>
            <w:vAlign w:val="center"/>
          </w:tcPr>
          <w:p w14:paraId="7A861E52" w14:textId="6278359D" w:rsidR="00773BC6" w:rsidRDefault="00773BC6" w:rsidP="00037E99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>
              <w:r>
                <w:rPr>
                  <w:color w:val="0462C1"/>
                  <w:u w:val="single"/>
                  <w:lang w:val="th"/>
                </w:rPr>
                <w:t>https://www.uwa.edu.au/study/indigenous-study</w:t>
              </w:r>
            </w:hyperlink>
          </w:p>
        </w:tc>
      </w:tr>
    </w:tbl>
    <w:p w14:paraId="7F8F11CF" w14:textId="77777777" w:rsidR="00F564E3" w:rsidRDefault="00F564E3" w:rsidP="00F564E3">
      <w:bookmarkStart w:id="3" w:name="_Hlk190767668"/>
    </w:p>
    <w:bookmarkEnd w:id="3"/>
    <w:p w14:paraId="04033E83" w14:textId="37EDA31A" w:rsidR="0017455B" w:rsidRDefault="0017455B" w:rsidP="00F96A8B">
      <w:pPr>
        <w:spacing w:before="12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th"/>
        </w:rPr>
        <w:t>คุณวุฒิการเรียนรู้แบบองค์รวมระดับนานาชาติ (International Big Picture Learning Credential: IBPLC)</w:t>
      </w:r>
    </w:p>
    <w:p w14:paraId="7B941B8F" w14:textId="74C95C10" w:rsidR="00266A20" w:rsidRPr="00830D9A" w:rsidRDefault="00203DE5" w:rsidP="00203DE5">
      <w:pPr>
        <w:rPr>
          <w:szCs w:val="22"/>
        </w:rPr>
      </w:pPr>
      <w:r>
        <w:rPr>
          <w:lang w:val="th"/>
        </w:rPr>
        <w:t>คุณวุฒิ IBPLC เป็นรูปแบบการประเมินผลการศึกษาในปีสุดท้ายที่ได้รับการปรับให้เหมาะกับแต่ละบุคคล โดยมุ่งเน้นการวัดและสะท้อนถึงขีดความสามารถ ประสบการณ์ และคุณลักษณะต่าง ๆ อย่างหลากหลาย ซึ่งในปัจจุบัน มหาวิทยาลัยหลายแห่งในออสเตรเลียก็ได้ทำการเปิดรับผู้สำเร็จการศึกษาที่ถือวุฒิประกาศนียบัตรนี้เข้าศึกษาแล้ว</w:t>
      </w:r>
    </w:p>
    <w:p w14:paraId="592AB710" w14:textId="23029E3C" w:rsidR="00203DE5" w:rsidRPr="009F3FC4" w:rsidRDefault="00266A20" w:rsidP="00037E99">
      <w:pPr>
        <w:spacing w:before="120"/>
        <w:rPr>
          <w:color w:val="313131"/>
          <w:szCs w:val="22"/>
        </w:rPr>
      </w:pPr>
      <w:hyperlink r:id="rId38" w:history="1">
        <w:r>
          <w:rPr>
            <w:rStyle w:val="Hyperlink"/>
            <w:szCs w:val="22"/>
            <w:lang w:val="th"/>
          </w:rPr>
          <w:t>https://www.bigpicture.org.au/what-international-big-picture-learning-credential</w:t>
        </w:r>
      </w:hyperlink>
    </w:p>
    <w:p w14:paraId="67EBEE83" w14:textId="77777777" w:rsidR="00121C4C" w:rsidRDefault="00121C4C" w:rsidP="00194F5F">
      <w:pPr>
        <w:widowControl w:val="0"/>
        <w:autoSpaceDE w:val="0"/>
        <w:autoSpaceDN w:val="0"/>
        <w:spacing w:before="240" w:after="60" w:line="268" w:lineRule="exact"/>
        <w:rPr>
          <w:rFonts w:eastAsia="Arial"/>
          <w:b/>
          <w:bCs/>
          <w:sz w:val="24"/>
          <w:szCs w:val="24"/>
        </w:rPr>
        <w:sectPr w:rsidR="00121C4C" w:rsidSect="003C4436">
          <w:type w:val="continuous"/>
          <w:pgSz w:w="11906" w:h="16838" w:code="9"/>
          <w:pgMar w:top="709" w:right="1247" w:bottom="709" w:left="1247" w:header="680" w:footer="567" w:gutter="0"/>
          <w:cols w:space="708"/>
          <w:titlePg/>
          <w:docGrid w:linePitch="360"/>
        </w:sectPr>
      </w:pPr>
    </w:p>
    <w:p w14:paraId="1F5F7340" w14:textId="77777777" w:rsidR="003C4436" w:rsidRDefault="003C4436" w:rsidP="00C407A9">
      <w:pPr>
        <w:spacing w:after="60"/>
        <w:rPr>
          <w:b/>
          <w:bCs/>
          <w:sz w:val="24"/>
          <w:szCs w:val="24"/>
        </w:rPr>
      </w:pPr>
    </w:p>
    <w:p w14:paraId="38DC6FD0" w14:textId="0FC8A49A" w:rsidR="00D33C0E" w:rsidRPr="003C4436" w:rsidRDefault="00D33C0E" w:rsidP="00C407A9">
      <w:pPr>
        <w:spacing w:after="60"/>
        <w:rPr>
          <w:b/>
          <w:bCs/>
          <w:sz w:val="24"/>
          <w:szCs w:val="24"/>
        </w:rPr>
      </w:pPr>
      <w:r w:rsidRPr="003C4436">
        <w:rPr>
          <w:b/>
          <w:bCs/>
          <w:sz w:val="24"/>
          <w:szCs w:val="24"/>
          <w:lang w:val="th"/>
        </w:rPr>
        <w:t>การเข้าศึกษาโดยอิงจากประสบการณ์</w:t>
      </w:r>
    </w:p>
    <w:p w14:paraId="25E6D505" w14:textId="485258A7" w:rsidR="00F321C6" w:rsidRDefault="00D33C0E" w:rsidP="004C3145">
      <w:pPr>
        <w:spacing w:after="120"/>
      </w:pPr>
      <w:r>
        <w:rPr>
          <w:lang w:val="th"/>
        </w:rPr>
        <w:t>นักเรียนอาจได้รับการพิจารณาเข้าศึกษาในหลักสูตรระดับปริญญาตรี โดยเข้ารับการประเมินที่จัดโดยมหาวิทยาลัย เพื่อประเมินความสามารถในการประสบความสำเร็จในการศึกษาระดับอุดมศึกษา โดยอิงจากหลักฐานที่นักเรียนยื่นประกอบ</w:t>
      </w:r>
    </w:p>
    <w:tbl>
      <w:tblPr>
        <w:tblStyle w:val="DOETable1"/>
        <w:tblW w:w="9634" w:type="dxa"/>
        <w:tblLook w:val="04A0" w:firstRow="1" w:lastRow="0" w:firstColumn="1" w:lastColumn="0" w:noHBand="0" w:noVBand="1"/>
      </w:tblPr>
      <w:tblGrid>
        <w:gridCol w:w="3281"/>
        <w:gridCol w:w="6353"/>
      </w:tblGrid>
      <w:tr w:rsidR="00D33C0E" w14:paraId="5B12F809" w14:textId="77777777" w:rsidTr="00C40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</w:tcPr>
          <w:p w14:paraId="109EBAF6" w14:textId="77777777" w:rsidR="00D33C0E" w:rsidRDefault="00D33C0E" w:rsidP="004C3145">
            <w:pPr>
              <w:pStyle w:val="BodyText"/>
            </w:pPr>
            <w:r>
              <w:rPr>
                <w:lang w:val="th"/>
              </w:rPr>
              <w:t>มหาวิทยาลัย</w:t>
            </w:r>
          </w:p>
        </w:tc>
        <w:tc>
          <w:tcPr>
            <w:tcW w:w="7696" w:type="dxa"/>
          </w:tcPr>
          <w:p w14:paraId="34772D55" w14:textId="77777777" w:rsidR="00D33C0E" w:rsidRDefault="00D33C0E" w:rsidP="004C3145">
            <w:pPr>
              <w:pStyle w:val="BodyText"/>
              <w:spacing w:before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th"/>
              </w:rPr>
              <w:t>เว็บไซต์</w:t>
            </w:r>
          </w:p>
        </w:tc>
      </w:tr>
      <w:tr w:rsidR="00D33C0E" w:rsidRPr="00FD22D7" w14:paraId="7EC7C836" w14:textId="77777777" w:rsidTr="00C407A9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24C87D43" w14:textId="77777777" w:rsidR="00D33C0E" w:rsidRDefault="00D33C0E" w:rsidP="00DC55D8">
            <w:pPr>
              <w:pStyle w:val="BodyText"/>
              <w:spacing w:before="5"/>
            </w:pPr>
            <w:r>
              <w:rPr>
                <w:lang w:val="th"/>
              </w:rPr>
              <w:t>อีดิธ</w:t>
            </w:r>
            <w:r>
              <w:rPr>
                <w:b w:val="0"/>
                <w:bCs w:val="0"/>
                <w:lang w:val="th"/>
              </w:rPr>
              <w:t xml:space="preserve"> </w:t>
            </w:r>
            <w:r>
              <w:rPr>
                <w:lang w:val="th"/>
              </w:rPr>
              <w:t>โคแวน</w:t>
            </w:r>
          </w:p>
        </w:tc>
        <w:tc>
          <w:tcPr>
            <w:tcW w:w="7696" w:type="dxa"/>
          </w:tcPr>
          <w:p w14:paraId="3A7A3ECB" w14:textId="39A54CF5" w:rsidR="00D33C0E" w:rsidRPr="00FD22D7" w:rsidRDefault="00FD5DE5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>
                <w:rPr>
                  <w:rStyle w:val="Hyperlink"/>
                  <w:lang w:val="th"/>
                </w:rPr>
                <w:t>https://www.ecu.edu.au/future-students/course-entry/experience-based-entry-scheme</w:t>
              </w:r>
            </w:hyperlink>
            <w:r>
              <w:rPr>
                <w:rStyle w:val="Hyperlink"/>
                <w:lang w:val="th"/>
              </w:rPr>
              <w:t xml:space="preserve"> </w:t>
            </w:r>
          </w:p>
        </w:tc>
      </w:tr>
      <w:tr w:rsidR="00DC55D8" w:rsidRPr="00FD22D7" w14:paraId="64D6C43E" w14:textId="77777777" w:rsidTr="00C40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2DBDDB47" w14:textId="3B45D65F" w:rsidR="00DC55D8" w:rsidRDefault="00DC55D8" w:rsidP="00DC55D8">
            <w:pPr>
              <w:pStyle w:val="BodyText"/>
              <w:spacing w:before="5"/>
            </w:pPr>
            <w:r>
              <w:rPr>
                <w:lang w:val="th"/>
              </w:rPr>
              <w:t>เมอร์ด็อก</w:t>
            </w:r>
          </w:p>
        </w:tc>
        <w:tc>
          <w:tcPr>
            <w:tcW w:w="7696" w:type="dxa"/>
          </w:tcPr>
          <w:p w14:paraId="6791F0FB" w14:textId="61EB3AAC" w:rsidR="00DC55D8" w:rsidDel="00E36C6A" w:rsidRDefault="00DC55D8" w:rsidP="00F70FDB">
            <w:pPr>
              <w:pStyle w:val="BodyText"/>
              <w:spacing w:before="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hyperlink r:id="rId40" w:history="1">
              <w:r>
                <w:rPr>
                  <w:rStyle w:val="Hyperlink"/>
                  <w:lang w:val="th"/>
                </w:rPr>
                <w:t>https://www.murdoch.edu.au/study/pathways-to-uni/enabling-pathways/experience-based-entry</w:t>
              </w:r>
            </w:hyperlink>
            <w:r>
              <w:rPr>
                <w:lang w:val="th"/>
              </w:rPr>
              <w:t xml:space="preserve"> </w:t>
            </w:r>
          </w:p>
        </w:tc>
      </w:tr>
      <w:tr w:rsidR="004C7715" w:rsidRPr="00FD22D7" w14:paraId="50B40B28" w14:textId="77777777" w:rsidTr="00C407A9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shd w:val="clear" w:color="auto" w:fill="FFFFFF" w:themeFill="background1"/>
            <w:vAlign w:val="center"/>
          </w:tcPr>
          <w:p w14:paraId="644DB3EC" w14:textId="49F9BEC5" w:rsidR="004C7715" w:rsidRDefault="009E3E4E" w:rsidP="00DC55D8">
            <w:pPr>
              <w:pStyle w:val="BodyText"/>
              <w:spacing w:before="5"/>
            </w:pPr>
            <w:r>
              <w:rPr>
                <w:lang w:val="th"/>
              </w:rPr>
              <w:t>มหาวิทยาลัยนอเทรอดาม</w:t>
            </w:r>
          </w:p>
        </w:tc>
        <w:tc>
          <w:tcPr>
            <w:tcW w:w="7696" w:type="dxa"/>
            <w:shd w:val="clear" w:color="auto" w:fill="FFFFFF" w:themeFill="background1"/>
          </w:tcPr>
          <w:p w14:paraId="13FC4A1E" w14:textId="08D00B8E" w:rsidR="004C7715" w:rsidRPr="00D33C0E" w:rsidRDefault="00FD5DE5" w:rsidP="00F70FDB">
            <w:pPr>
              <w:pStyle w:val="BodyText"/>
              <w:spacing w:before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1" w:history="1">
              <w:r>
                <w:rPr>
                  <w:rStyle w:val="Hyperlink"/>
                  <w:lang w:val="th"/>
                </w:rPr>
                <w:t>https://www.notredame.edu.au/study/applications-and-admissions/pathways/other-entry-pathways</w:t>
              </w:r>
            </w:hyperlink>
            <w:r>
              <w:rPr>
                <w:lang w:val="th"/>
              </w:rPr>
              <w:t xml:space="preserve"> </w:t>
            </w:r>
          </w:p>
        </w:tc>
      </w:tr>
      <w:tr w:rsidR="00AB5509" w14:paraId="3F310767" w14:textId="77777777" w:rsidTr="00C40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8" w:type="dxa"/>
            <w:vAlign w:val="center"/>
          </w:tcPr>
          <w:p w14:paraId="6ED2F2A0" w14:textId="4089C9F3" w:rsidR="00AB5509" w:rsidRPr="00F760B4" w:rsidRDefault="00AB5509" w:rsidP="00DC55D8">
            <w:pPr>
              <w:pStyle w:val="BodyText"/>
              <w:spacing w:before="5"/>
              <w:rPr>
                <w:spacing w:val="-2"/>
              </w:rPr>
            </w:pPr>
            <w:r>
              <w:rPr>
                <w:lang w:val="th"/>
              </w:rPr>
              <w:t>มหาวิทยาลัยเวสเทิร์นออสเตรเลีย</w:t>
            </w:r>
          </w:p>
        </w:tc>
        <w:tc>
          <w:tcPr>
            <w:tcW w:w="7696" w:type="dxa"/>
          </w:tcPr>
          <w:p w14:paraId="2DB2CB61" w14:textId="37EAC98B" w:rsidR="001F1ECD" w:rsidRPr="009F3FC4" w:rsidRDefault="00FD5DE5" w:rsidP="00F70FDB">
            <w:pPr>
              <w:pStyle w:val="TableParagraph"/>
              <w:spacing w:before="12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462C1"/>
                <w:u w:val="single" w:color="0462C1"/>
              </w:rPr>
            </w:pPr>
            <w:hyperlink r:id="rId42" w:history="1">
              <w:r>
                <w:rPr>
                  <w:rStyle w:val="Hyperlink"/>
                  <w:lang w:val="th"/>
                </w:rPr>
                <w:t>https://www.uwa.edu.au/study/How-to-apply/Admission-entry-pathways/Experience-based-entry</w:t>
              </w:r>
            </w:hyperlink>
            <w:r>
              <w:rPr>
                <w:color w:val="0462C1"/>
                <w:u w:val="single"/>
                <w:lang w:val="th"/>
              </w:rPr>
              <w:t xml:space="preserve">  </w:t>
            </w:r>
          </w:p>
        </w:tc>
      </w:tr>
    </w:tbl>
    <w:p w14:paraId="44B07488" w14:textId="77777777" w:rsidR="00C407A9" w:rsidRDefault="00C407A9" w:rsidP="00C407A9"/>
    <w:p w14:paraId="40735AC0" w14:textId="77777777" w:rsidR="00C407A9" w:rsidRDefault="00C407A9" w:rsidP="00C407A9"/>
    <w:p w14:paraId="6F8C3422" w14:textId="25B67EB8" w:rsidR="00ED101F" w:rsidRPr="00BE43AE" w:rsidRDefault="00ED101F" w:rsidP="00F70FDB">
      <w:pPr>
        <w:pStyle w:val="BodyText"/>
        <w:spacing w:before="120" w:after="60" w:line="252" w:lineRule="auto"/>
        <w:ind w:right="212"/>
        <w:rPr>
          <w:b/>
          <w:bCs/>
          <w:color w:val="000000"/>
          <w:spacing w:val="-4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th"/>
        </w:rPr>
        <w:t>ศูนย์บริการสถาบันระดับอุดมศึกษา</w:t>
      </w:r>
      <w:r>
        <w:rPr>
          <w:color w:val="000000"/>
          <w:sz w:val="24"/>
          <w:szCs w:val="24"/>
          <w:shd w:val="clear" w:color="auto" w:fill="FFFFFF"/>
          <w:lang w:val="th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  <w:lang w:val="th"/>
        </w:rPr>
        <w:t>(The Tertiary Institutions Service Centre: TISC)</w:t>
      </w:r>
    </w:p>
    <w:p w14:paraId="4690CE99" w14:textId="665E54C7" w:rsidR="00530AA7" w:rsidRDefault="00530AA7" w:rsidP="000627DD">
      <w:pPr>
        <w:rPr>
          <w:rFonts w:eastAsia="Times New Roman"/>
          <w:szCs w:val="22"/>
          <w:shd w:val="clear" w:color="auto" w:fill="FFFFFF"/>
        </w:rPr>
      </w:pPr>
      <w:hyperlink r:id="rId43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https://www.tisc.edu.au/static/home.tisc</w:t>
        </w:r>
      </w:hyperlink>
    </w:p>
    <w:p w14:paraId="477EF9D1" w14:textId="77777777" w:rsidR="00530AA7" w:rsidRDefault="00530AA7" w:rsidP="000627DD">
      <w:pPr>
        <w:rPr>
          <w:rFonts w:eastAsia="Times New Roman"/>
          <w:szCs w:val="22"/>
          <w:shd w:val="clear" w:color="auto" w:fill="FFFFFF"/>
        </w:rPr>
      </w:pPr>
    </w:p>
    <w:p w14:paraId="056665D5" w14:textId="440679E4" w:rsidR="00532B84" w:rsidRPr="00BE43AE" w:rsidRDefault="00532B84" w:rsidP="000627DD">
      <w:pPr>
        <w:rPr>
          <w:rFonts w:eastAsia="Times New Roman"/>
          <w:szCs w:val="22"/>
        </w:rPr>
      </w:pPr>
      <w:r>
        <w:rPr>
          <w:rFonts w:eastAsia="Times New Roman"/>
          <w:szCs w:val="22"/>
          <w:shd w:val="clear" w:color="auto" w:fill="FFFFFF"/>
          <w:lang w:val="th"/>
        </w:rPr>
        <w:t>ศูนย์ TISC จะให้บริการดังต่อไปนี้:</w:t>
      </w:r>
    </w:p>
    <w:p w14:paraId="445D4E35" w14:textId="1C6D8951" w:rsidR="00532B84" w:rsidRPr="00BE43AE" w:rsidRDefault="00532B84" w:rsidP="008358E7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lang w:val="th"/>
        </w:rPr>
        <w:t>ดำเนินการ</w:t>
      </w:r>
      <w:hyperlink r:id="rId44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ยื่นใบสมัคร</w:t>
        </w:r>
      </w:hyperlink>
      <w:r>
        <w:rPr>
          <w:rStyle w:val="Hyperlink"/>
          <w:rFonts w:eastAsia="Times New Roman"/>
          <w:szCs w:val="22"/>
          <w:shd w:val="clear" w:color="auto" w:fill="FFFFFF"/>
          <w:lang w:val="th"/>
        </w:rPr>
        <w:t xml:space="preserve"> </w:t>
      </w:r>
      <w:r>
        <w:rPr>
          <w:rFonts w:eastAsia="Times New Roman"/>
          <w:szCs w:val="22"/>
          <w:lang w:val="th"/>
        </w:rPr>
        <w:t>สำหรับการคัดเลือกเข้าศึกษาต่อในหลักสูตรระดับปริญญาตรีในมหาวิทยาลัยตามที่ได้ระบุไว้ด้านบน</w:t>
      </w:r>
    </w:p>
    <w:p w14:paraId="4A8E1913" w14:textId="77777777" w:rsidR="00532B84" w:rsidRPr="00BE43AE" w:rsidRDefault="00532B84" w:rsidP="008358E7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lang w:val="th"/>
        </w:rPr>
        <w:t>จัดการทดสอบเพื่อการศึกษาต่อในระดับอุดมศึกษาแบบพิเศษ (</w:t>
      </w:r>
      <w:hyperlink r:id="rId45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Special Tertiary Admissions Test: STAT</w:t>
        </w:r>
      </w:hyperlink>
      <w:r>
        <w:rPr>
          <w:rFonts w:eastAsia="Times New Roman"/>
          <w:szCs w:val="22"/>
          <w:lang w:val="th"/>
        </w:rPr>
        <w:t>)</w:t>
      </w:r>
    </w:p>
    <w:p w14:paraId="4864D53A" w14:textId="4D48BA7C" w:rsidR="00532B84" w:rsidRPr="00BE43AE" w:rsidRDefault="00532B84" w:rsidP="008358E7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lang w:val="th"/>
        </w:rPr>
        <w:t xml:space="preserve">ดำเนินงานโครงการเตรียมความพร้อมเพื่อเข้าศึกษาในมหาวิทยาลัยของรัฐเวสเทิร์นออสเตรเลีย </w:t>
      </w:r>
      <w:hyperlink r:id="rId46" w:history="1">
        <w:r>
          <w:rPr>
            <w:rStyle w:val="Hyperlink"/>
            <w:rFonts w:eastAsia="Times New Roman"/>
            <w:szCs w:val="22"/>
            <w:u w:val="none"/>
            <w:shd w:val="clear" w:color="auto" w:fill="FFFFFF"/>
            <w:lang w:val="th"/>
          </w:rPr>
          <w:t>(</w:t>
        </w:r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Western Australian Universities’ Foundation Program: WAUFP</w:t>
        </w:r>
        <w:r>
          <w:rPr>
            <w:rStyle w:val="Hyperlink"/>
            <w:rFonts w:eastAsia="Times New Roman"/>
            <w:szCs w:val="22"/>
            <w:u w:val="none"/>
            <w:shd w:val="clear" w:color="auto" w:fill="FFFFFF"/>
            <w:lang w:val="th"/>
          </w:rPr>
          <w:t>)</w:t>
        </w:r>
      </w:hyperlink>
    </w:p>
    <w:p w14:paraId="5F54FE6A" w14:textId="3E5D7BD4" w:rsidR="00532B84" w:rsidRPr="00BE43AE" w:rsidRDefault="00532B84" w:rsidP="008358E7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r>
        <w:rPr>
          <w:rFonts w:eastAsia="Times New Roman"/>
          <w:szCs w:val="22"/>
          <w:lang w:val="th"/>
        </w:rPr>
        <w:t>จัดพิมพ์หนังสือเวียนจากโรงเรียน (</w:t>
      </w:r>
      <w:hyperlink r:id="rId47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School</w:t>
        </w:r>
        <w:r>
          <w:rPr>
            <w:rStyle w:val="Hyperlink"/>
            <w:shd w:val="clear" w:color="auto" w:fill="FFFFFF"/>
            <w:lang w:val="th"/>
          </w:rPr>
          <w:t xml:space="preserve"> Circulars</w:t>
        </w:r>
      </w:hyperlink>
      <w:r>
        <w:rPr>
          <w:rFonts w:eastAsia="Times New Roman"/>
          <w:szCs w:val="22"/>
          <w:lang w:val="th"/>
        </w:rPr>
        <w:t>) ตามรอบเวลาที่กำหนด</w:t>
      </w:r>
    </w:p>
    <w:p w14:paraId="5AB11B5F" w14:textId="610B6290" w:rsidR="00532B84" w:rsidRPr="00BE43AE" w:rsidRDefault="00532B84" w:rsidP="008358E7">
      <w:pPr>
        <w:numPr>
          <w:ilvl w:val="0"/>
          <w:numId w:val="26"/>
        </w:numPr>
        <w:ind w:left="723"/>
        <w:rPr>
          <w:rFonts w:eastAsia="Times New Roman"/>
          <w:szCs w:val="22"/>
        </w:rPr>
      </w:pPr>
      <w:hyperlink r:id="rId48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ปรับค่าน้ำหนักคะแนน</w:t>
        </w:r>
      </w:hyperlink>
      <w:r>
        <w:rPr>
          <w:rFonts w:eastAsia="Times New Roman"/>
          <w:szCs w:val="22"/>
          <w:lang w:val="th"/>
        </w:rPr>
        <w:t xml:space="preserve"> ผลการเรียนในระบบ WACE และการคำนวณคะแนน </w:t>
      </w:r>
      <w:hyperlink r:id="rId49" w:history="1">
        <w:r>
          <w:rPr>
            <w:rStyle w:val="Hyperlink"/>
            <w:rFonts w:eastAsia="Times New Roman"/>
            <w:szCs w:val="22"/>
            <w:shd w:val="clear" w:color="auto" w:fill="FFFFFF"/>
            <w:lang w:val="th"/>
          </w:rPr>
          <w:t>ATARs</w:t>
        </w:r>
      </w:hyperlink>
      <w:r>
        <w:rPr>
          <w:rFonts w:eastAsia="Times New Roman"/>
          <w:szCs w:val="22"/>
          <w:lang w:val="th"/>
        </w:rPr>
        <w:t xml:space="preserve"> สำหรับนักเรียนในรัฐเวสเทิร์นออสเตรเลีย</w:t>
      </w:r>
    </w:p>
    <w:p w14:paraId="32CB19B9" w14:textId="77777777" w:rsidR="00056123" w:rsidRDefault="00056123" w:rsidP="000627DD">
      <w:pPr>
        <w:pStyle w:val="BodyText"/>
        <w:spacing w:line="252" w:lineRule="auto"/>
        <w:ind w:right="212"/>
        <w:rPr>
          <w:color w:val="000000"/>
          <w:spacing w:val="-4"/>
          <w:shd w:val="clear" w:color="auto" w:fill="FFFFFF"/>
        </w:rPr>
      </w:pPr>
    </w:p>
    <w:p w14:paraId="63DACDD6" w14:textId="6F6DFD2C" w:rsidR="00056123" w:rsidRDefault="00684E13" w:rsidP="000627DD">
      <w:pPr>
        <w:pStyle w:val="BodyText"/>
        <w:spacing w:line="252" w:lineRule="auto"/>
        <w:ind w:right="212"/>
        <w:rPr>
          <w:color w:val="000000"/>
          <w:spacing w:val="-4"/>
          <w:shd w:val="clear" w:color="auto" w:fill="FFFFFF"/>
        </w:rPr>
      </w:pPr>
      <w:r>
        <w:rPr>
          <w:color w:val="000000"/>
          <w:shd w:val="clear" w:color="auto" w:fill="FFFFFF"/>
          <w:lang w:val="th"/>
        </w:rPr>
        <w:t>TISC มีแหล่งข้อมูลมากมายที่อาจช่วยคุณได้ เช่น โบรชัวร์แนะนำการสมัครมหาวิทยาลัยที่ออกทุกปี ซึ่งบอกทั้งคุณสมบัติที่ต้องใช้และทางเลือกต่าง ๆ ในการเข้าศึกษา</w:t>
      </w:r>
    </w:p>
    <w:p w14:paraId="1DDA540F" w14:textId="3B46F704" w:rsidR="006C4D37" w:rsidRDefault="00C54FA6" w:rsidP="000627DD">
      <w:pPr>
        <w:pStyle w:val="BodyText"/>
        <w:rPr>
          <w:rStyle w:val="Hyperlink"/>
          <w:spacing w:val="-4"/>
          <w:shd w:val="clear" w:color="auto" w:fill="FFFFFF"/>
        </w:rPr>
      </w:pPr>
      <w:hyperlink r:id="rId50" w:history="1">
        <w:r>
          <w:rPr>
            <w:rStyle w:val="Hyperlink"/>
            <w:shd w:val="clear" w:color="auto" w:fill="FFFFFF"/>
            <w:lang w:val="th"/>
          </w:rPr>
          <w:t>https://www.tisc.edu.au/static/resources.tisc</w:t>
        </w:r>
      </w:hyperlink>
    </w:p>
    <w:p w14:paraId="69E183AA" w14:textId="77777777" w:rsidR="00C407A9" w:rsidRDefault="00C407A9" w:rsidP="00C407A9"/>
    <w:p w14:paraId="0B84EFFF" w14:textId="77777777" w:rsidR="00C407A9" w:rsidRDefault="00C407A9" w:rsidP="00C407A9"/>
    <w:p w14:paraId="3A31F58B" w14:textId="24476AF8" w:rsidR="00194F5F" w:rsidRDefault="00194F5F" w:rsidP="00F96A8B">
      <w:pPr>
        <w:widowControl w:val="0"/>
        <w:autoSpaceDE w:val="0"/>
        <w:autoSpaceDN w:val="0"/>
        <w:spacing w:before="120" w:after="60" w:line="268" w:lineRule="exact"/>
        <w:rPr>
          <w:rFonts w:eastAsia="Arial"/>
          <w:b/>
          <w:bCs/>
          <w:spacing w:val="-2"/>
          <w:sz w:val="24"/>
          <w:szCs w:val="24"/>
        </w:rPr>
      </w:pPr>
      <w:r>
        <w:rPr>
          <w:rFonts w:eastAsia="Arial"/>
          <w:b/>
          <w:bCs/>
          <w:sz w:val="24"/>
          <w:szCs w:val="24"/>
          <w:lang w:val="th"/>
        </w:rPr>
        <w:t>โครงการสนับสนุนการเข้าถึงการศึกษา</w:t>
      </w:r>
    </w:p>
    <w:p w14:paraId="29A5B781" w14:textId="77777777" w:rsidR="00194F5F" w:rsidRPr="00BE43AE" w:rsidRDefault="00194F5F" w:rsidP="00194F5F">
      <w:pPr>
        <w:widowControl w:val="0"/>
        <w:autoSpaceDE w:val="0"/>
        <w:autoSpaceDN w:val="0"/>
        <w:spacing w:line="268" w:lineRule="exact"/>
        <w:rPr>
          <w:rFonts w:eastAsia="Arial"/>
          <w:b/>
          <w:bCs/>
          <w:spacing w:val="-5"/>
          <w:szCs w:val="22"/>
        </w:rPr>
      </w:pPr>
      <w:r>
        <w:rPr>
          <w:szCs w:val="22"/>
          <w:shd w:val="clear" w:color="auto" w:fill="FFFFFF"/>
          <w:lang w:val="th"/>
        </w:rPr>
        <w:t>โครงการสนับสนุนการเข้าถึงการศึกษา (The Educational Access Scheme: EAS) มุ่งเน้นไปที่ผู้สมัครที่ต้องการเข้าศึกษาระดับปริญญาตรีในมหาวิทยาลัยต่าง ๆ ในรัฐเวสเทิร์นออสเตรเลีย และเคยประสบกับเหตุการณ์หรือวิกฤตที่ส่งผลกระทบต่อการเรียนในระดับชั้นปีที่ 11 หรือ 12 โดยสามารถสมัครเพื่อขอรับการพิจารณาเป็นพิเศษ ซึ่งหากได้รับอนุมัติก็อาจช่วยให้พวกเขาได้รับสิทธิ์เข้าศึกษาต่อในมหาวิทยาลัยได้</w:t>
      </w:r>
    </w:p>
    <w:p w14:paraId="557D99D1" w14:textId="77777777" w:rsidR="00194F5F" w:rsidRDefault="00194F5F" w:rsidP="00194F5F">
      <w:pPr>
        <w:pStyle w:val="BodyText"/>
        <w:spacing w:before="120"/>
        <w:rPr>
          <w:shd w:val="clear" w:color="auto" w:fill="FFFFFF"/>
        </w:rPr>
      </w:pPr>
      <w:hyperlink r:id="rId51" w:history="1">
        <w:r>
          <w:rPr>
            <w:rStyle w:val="Hyperlink"/>
            <w:lang w:val="th"/>
          </w:rPr>
          <w:t>https://tisc.edu.au/static/guide/eas.tisc</w:t>
        </w:r>
      </w:hyperlink>
      <w:r>
        <w:rPr>
          <w:lang w:val="th"/>
        </w:rPr>
        <w:t xml:space="preserve"> </w:t>
      </w:r>
    </w:p>
    <w:p w14:paraId="16422965" w14:textId="77777777" w:rsidR="00194F5F" w:rsidRDefault="00194F5F" w:rsidP="000627DD">
      <w:pPr>
        <w:pStyle w:val="BodyText"/>
      </w:pPr>
    </w:p>
    <w:sectPr w:rsidR="00194F5F" w:rsidSect="003C4436">
      <w:type w:val="continuous"/>
      <w:pgSz w:w="11906" w:h="16838"/>
      <w:pgMar w:top="709" w:right="1247" w:bottom="709" w:left="1247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F88F" w14:textId="77777777" w:rsidR="00C406C1" w:rsidRDefault="00C406C1" w:rsidP="00127DAD">
      <w:r>
        <w:separator/>
      </w:r>
    </w:p>
  </w:endnote>
  <w:endnote w:type="continuationSeparator" w:id="0">
    <w:p w14:paraId="1E56C89E" w14:textId="77777777" w:rsidR="00C406C1" w:rsidRDefault="00C406C1" w:rsidP="00127DAD">
      <w:r>
        <w:continuationSeparator/>
      </w:r>
    </w:p>
  </w:endnote>
  <w:endnote w:type="continuationNotice" w:id="1">
    <w:p w14:paraId="79355DB2" w14:textId="77777777" w:rsidR="00C406C1" w:rsidRDefault="00C406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22AD1FF0" w:rsidR="008626AA" w:rsidRPr="00F26894" w:rsidRDefault="008626AA" w:rsidP="008626AA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th"/>
          </w:rPr>
          <w:t>D24/0269520</w:t>
        </w:r>
      </w:sdtContent>
    </w:sdt>
  </w:p>
  <w:p w14:paraId="3CC1B870" w14:textId="77A9C2A9" w:rsidR="000F6D5A" w:rsidRPr="008626AA" w:rsidRDefault="008626AA" w:rsidP="004C3145">
    <w:pPr>
      <w:pStyle w:val="Footer"/>
      <w:tabs>
        <w:tab w:val="right" w:pos="9638"/>
      </w:tabs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fldChar w:fldCharType="begin"/>
    </w:r>
    <w:r>
      <w:rPr>
        <w:sz w:val="18"/>
        <w:szCs w:val="14"/>
        <w:lang w:val="th"/>
      </w:rPr>
      <w:instrText xml:space="preserve"> PAGE   \* MERGEFORMAT </w:instrText>
    </w:r>
    <w:r>
      <w:rPr>
        <w:sz w:val="18"/>
        <w:szCs w:val="14"/>
        <w:lang w:val="th"/>
      </w:rPr>
      <w:fldChar w:fldCharType="separate"/>
    </w:r>
    <w:r>
      <w:rPr>
        <w:noProof/>
        <w:sz w:val="18"/>
        <w:szCs w:val="14"/>
        <w:lang w:val="th"/>
      </w:rPr>
      <w:t>2</w:t>
    </w:r>
    <w:r>
      <w:rPr>
        <w:sz w:val="18"/>
        <w:szCs w:val="14"/>
        <w:lang w:val="th"/>
      </w:rPr>
      <w:fldChar w:fldCharType="end"/>
    </w:r>
    <w:r>
      <w:rPr>
        <w:sz w:val="18"/>
        <w:szCs w:val="14"/>
        <w:lang w:val="th"/>
      </w:rPr>
      <w:tab/>
      <w:t>March2024</w:t>
    </w:r>
    <w:r>
      <w:rPr>
        <w:lang w:val="t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7901ACE8" w:rsidR="00440775" w:rsidRPr="00A31523" w:rsidRDefault="001E1668" w:rsidP="001E1668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th"/>
          </w:rPr>
          <w:t>D24/0269520</w:t>
        </w:r>
      </w:sdtContent>
    </w:sdt>
  </w:p>
  <w:p w14:paraId="0E2C46A7" w14:textId="46F53C80" w:rsidR="00AF71AF" w:rsidRPr="00F26894" w:rsidRDefault="00440775" w:rsidP="001E1668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February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162D" w14:textId="77777777" w:rsidR="00274C17" w:rsidRPr="00A31523" w:rsidRDefault="00274C17" w:rsidP="00274C17">
    <w:pPr>
      <w:pStyle w:val="Footer"/>
      <w:rPr>
        <w:sz w:val="18"/>
        <w:szCs w:val="14"/>
      </w:rPr>
    </w:pPr>
    <w:r>
      <w:rPr>
        <w:lang w:val="th"/>
      </w:rPr>
      <w:tab/>
    </w:r>
    <w:r>
      <w:rPr>
        <w:lang w:val="th"/>
      </w:rPr>
      <w:tab/>
    </w:r>
    <w:sdt>
      <w:sdtPr>
        <w:rPr>
          <w:sz w:val="18"/>
          <w:szCs w:val="14"/>
        </w:rPr>
        <w:alias w:val="TRIM number"/>
        <w:tag w:val="TRIM number"/>
        <w:id w:val="1081105206"/>
        <w:placeholder>
          <w:docPart w:val="5EE8420EBCDB472395E26A67BC25C5E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th"/>
          </w:rPr>
          <w:t>D24/0269520</w:t>
        </w:r>
      </w:sdtContent>
    </w:sdt>
  </w:p>
  <w:p w14:paraId="2F1BA65F" w14:textId="77777777" w:rsidR="00274C17" w:rsidRDefault="00274C17" w:rsidP="00274C17">
    <w:pPr>
      <w:pStyle w:val="Footer"/>
      <w:rPr>
        <w:sz w:val="18"/>
        <w:szCs w:val="14"/>
      </w:rPr>
    </w:pPr>
    <w:r>
      <w:rPr>
        <w:sz w:val="18"/>
        <w:szCs w:val="14"/>
        <w:lang w:val="th"/>
      </w:rPr>
      <w:tab/>
    </w:r>
    <w:r>
      <w:rPr>
        <w:sz w:val="18"/>
        <w:szCs w:val="14"/>
        <w:lang w:val="th"/>
      </w:rPr>
      <w:tab/>
      <w:t>February 2025</w:t>
    </w:r>
  </w:p>
  <w:sdt>
    <w:sdtPr>
      <w:id w:val="693655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B977E1" w14:textId="67E3E170" w:rsidR="00B964F6" w:rsidRPr="00274C17" w:rsidRDefault="00274C17" w:rsidP="00274C17">
        <w:pPr>
          <w:pStyle w:val="Footer"/>
          <w:jc w:val="center"/>
        </w:pPr>
        <w:r>
          <w:rPr>
            <w:lang w:val="th"/>
          </w:rPr>
          <w:fldChar w:fldCharType="begin"/>
        </w:r>
        <w:r>
          <w:rPr>
            <w:lang w:val="th"/>
          </w:rPr>
          <w:instrText xml:space="preserve"> PAGE   \* MERGEFORMAT </w:instrText>
        </w:r>
        <w:r>
          <w:rPr>
            <w:lang w:val="th"/>
          </w:rPr>
          <w:fldChar w:fldCharType="separate"/>
        </w:r>
        <w:r>
          <w:rPr>
            <w:noProof/>
            <w:lang w:val="th"/>
          </w:rPr>
          <w:t>2</w:t>
        </w:r>
        <w:r>
          <w:rPr>
            <w:noProof/>
            <w:lang w:val="th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FBB3" w14:textId="77777777" w:rsidR="00C406C1" w:rsidRDefault="00C406C1" w:rsidP="00127DAD">
      <w:r>
        <w:separator/>
      </w:r>
    </w:p>
  </w:footnote>
  <w:footnote w:type="continuationSeparator" w:id="0">
    <w:p w14:paraId="33947CDC" w14:textId="77777777" w:rsidR="00C406C1" w:rsidRDefault="00C406C1" w:rsidP="00127DAD">
      <w:r>
        <w:continuationSeparator/>
      </w:r>
    </w:p>
  </w:footnote>
  <w:footnote w:type="continuationNotice" w:id="1">
    <w:p w14:paraId="684FF208" w14:textId="77777777" w:rsidR="00C406C1" w:rsidRDefault="00C406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th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1E9F45CF" w:rsidR="00916AF7" w:rsidRDefault="003C4436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91" behindDoc="0" locked="0" layoutInCell="1" allowOverlap="1" wp14:anchorId="5F45E014" wp14:editId="48FAA057">
              <wp:simplePos x="0" y="0"/>
              <wp:positionH relativeFrom="column">
                <wp:posOffset>5913755</wp:posOffset>
              </wp:positionH>
              <wp:positionV relativeFrom="paragraph">
                <wp:posOffset>-136525</wp:posOffset>
              </wp:positionV>
              <wp:extent cx="4953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5B02D" w14:textId="3DDDB335" w:rsidR="003C4436" w:rsidRPr="003C4436" w:rsidRDefault="003C4436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3C4436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Thai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45E0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5.65pt;margin-top:-10.75pt;width:39pt;height:110.6pt;z-index:25166029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HJ+QEAAM0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" filled="f" stroked="f">
              <v:textbox style="mso-fit-shape-to-text:t">
                <w:txbxContent>
                  <w:p w14:paraId="5505B02D" w14:textId="3DDDB335" w:rsidR="003C4436" w:rsidRPr="003C4436" w:rsidRDefault="003C4436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3C4436">
                      <w:rPr>
                        <w:color w:val="404040" w:themeColor="text1" w:themeTint="BF"/>
                        <w:sz w:val="18"/>
                        <w:szCs w:val="16"/>
                      </w:rPr>
                      <w:t>Thai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D5BF0">
      <w:rPr>
        <w:noProof/>
        <w:lang w:val="th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th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CCEFD" w14:textId="12F4A948" w:rsidR="00037E99" w:rsidRDefault="00037E99" w:rsidP="00127DAD">
    <w:pPr>
      <w:pStyle w:val="Header"/>
    </w:pPr>
    <w:r>
      <w:rPr>
        <w:noProof/>
        <w:lang w:val="th"/>
      </w:rPr>
      <w:drawing>
        <wp:anchor distT="0" distB="0" distL="114300" distR="114300" simplePos="0" relativeHeight="251658243" behindDoc="1" locked="0" layoutInCell="1" allowOverlap="1" wp14:anchorId="477D7CAD" wp14:editId="3424DE9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45E3B7B"/>
    <w:multiLevelType w:val="hybridMultilevel"/>
    <w:tmpl w:val="0318323A"/>
    <w:lvl w:ilvl="0" w:tplc="FFFFFFFF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611E3C04">
      <w:numFmt w:val="bullet"/>
      <w:lvlText w:val="-"/>
      <w:lvlJc w:val="left"/>
      <w:pPr>
        <w:ind w:left="1576" w:hanging="360"/>
      </w:pPr>
      <w:rPr>
        <w:rFonts w:ascii="Calibri" w:eastAsiaTheme="minorHAnsi" w:hAnsi="Calibri" w:cs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07310D10"/>
    <w:multiLevelType w:val="hybridMultilevel"/>
    <w:tmpl w:val="AE2C5282"/>
    <w:lvl w:ilvl="0" w:tplc="0C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09E6775F"/>
    <w:multiLevelType w:val="hybridMultilevel"/>
    <w:tmpl w:val="40FC7DA2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3" w15:restartNumberingAfterBreak="0">
    <w:nsid w:val="1A067D40"/>
    <w:multiLevelType w:val="hybridMultilevel"/>
    <w:tmpl w:val="41AA6D28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4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5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6" w15:restartNumberingAfterBreak="0">
    <w:nsid w:val="418433A8"/>
    <w:multiLevelType w:val="multilevel"/>
    <w:tmpl w:val="908CAE96"/>
    <w:numStyleLink w:val="NumberedList"/>
  </w:abstractNum>
  <w:abstractNum w:abstractNumId="17" w15:restartNumberingAfterBreak="0">
    <w:nsid w:val="44E36ECD"/>
    <w:multiLevelType w:val="multilevel"/>
    <w:tmpl w:val="D738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816D77"/>
    <w:multiLevelType w:val="hybridMultilevel"/>
    <w:tmpl w:val="57A245E4"/>
    <w:lvl w:ilvl="0" w:tplc="CC7A1EA2">
      <w:numFmt w:val="bullet"/>
      <w:lvlText w:val=""/>
      <w:lvlJc w:val="left"/>
      <w:pPr>
        <w:ind w:left="85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F8B846">
      <w:numFmt w:val="bullet"/>
      <w:lvlText w:val="o"/>
      <w:lvlJc w:val="left"/>
      <w:pPr>
        <w:ind w:left="1578" w:hanging="360"/>
      </w:pPr>
      <w:rPr>
        <w:rFonts w:ascii="Courier New" w:eastAsia="Courier New" w:hAnsi="Courier New" w:cs="Courier New" w:hint="default"/>
        <w:w w:val="100"/>
        <w:lang w:val="en-US" w:eastAsia="en-US" w:bidi="ar-SA"/>
      </w:rPr>
    </w:lvl>
    <w:lvl w:ilvl="2" w:tplc="E19CAAF8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3" w:tplc="5C7EBAF4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92069428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2A0089AE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5396F958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A8C33FA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8" w:tplc="5216A2A0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9EF69EB"/>
    <w:multiLevelType w:val="hybridMultilevel"/>
    <w:tmpl w:val="34782FFE"/>
    <w:lvl w:ilvl="0" w:tplc="8698F00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466E7AEA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0122C254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A440BAE4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468273BE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A74C8802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3C1A1294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0052B2F0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4D52903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688D2522"/>
    <w:multiLevelType w:val="hybridMultilevel"/>
    <w:tmpl w:val="A8182532"/>
    <w:lvl w:ilvl="0" w:tplc="0C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1" w15:restartNumberingAfterBreak="0">
    <w:nsid w:val="6F206309"/>
    <w:multiLevelType w:val="multilevel"/>
    <w:tmpl w:val="7C98648E"/>
    <w:numStyleLink w:val="BulletedList"/>
  </w:abstractNum>
  <w:abstractNum w:abstractNumId="22" w15:restartNumberingAfterBreak="0">
    <w:nsid w:val="76432B17"/>
    <w:multiLevelType w:val="hybridMultilevel"/>
    <w:tmpl w:val="38D845F0"/>
    <w:lvl w:ilvl="0" w:tplc="62ACBDA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w w:val="100"/>
        <w:sz w:val="22"/>
        <w:szCs w:val="22"/>
        <w:lang w:val="en-US" w:eastAsia="en-US" w:bidi="ar-SA"/>
      </w:rPr>
    </w:lvl>
    <w:lvl w:ilvl="1" w:tplc="F7FABAA8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2" w:tplc="4DF87BB0">
      <w:numFmt w:val="bullet"/>
      <w:lvlText w:val="•"/>
      <w:lvlJc w:val="left"/>
      <w:pPr>
        <w:ind w:left="2071" w:hanging="361"/>
      </w:pPr>
      <w:rPr>
        <w:rFonts w:hint="default"/>
        <w:lang w:val="en-US" w:eastAsia="en-US" w:bidi="ar-SA"/>
      </w:rPr>
    </w:lvl>
    <w:lvl w:ilvl="3" w:tplc="6EC873BC">
      <w:numFmt w:val="bullet"/>
      <w:lvlText w:val="•"/>
      <w:lvlJc w:val="left"/>
      <w:pPr>
        <w:ind w:left="2697" w:hanging="361"/>
      </w:pPr>
      <w:rPr>
        <w:rFonts w:hint="default"/>
        <w:lang w:val="en-US" w:eastAsia="en-US" w:bidi="ar-SA"/>
      </w:rPr>
    </w:lvl>
    <w:lvl w:ilvl="4" w:tplc="56E87BB2">
      <w:numFmt w:val="bullet"/>
      <w:lvlText w:val="•"/>
      <w:lvlJc w:val="left"/>
      <w:pPr>
        <w:ind w:left="3323" w:hanging="361"/>
      </w:pPr>
      <w:rPr>
        <w:rFonts w:hint="default"/>
        <w:lang w:val="en-US" w:eastAsia="en-US" w:bidi="ar-SA"/>
      </w:rPr>
    </w:lvl>
    <w:lvl w:ilvl="5" w:tplc="C59C92DC">
      <w:numFmt w:val="bullet"/>
      <w:lvlText w:val="•"/>
      <w:lvlJc w:val="left"/>
      <w:pPr>
        <w:ind w:left="3949" w:hanging="361"/>
      </w:pPr>
      <w:rPr>
        <w:rFonts w:hint="default"/>
        <w:lang w:val="en-US" w:eastAsia="en-US" w:bidi="ar-SA"/>
      </w:rPr>
    </w:lvl>
    <w:lvl w:ilvl="6" w:tplc="717AD66A">
      <w:numFmt w:val="bullet"/>
      <w:lvlText w:val="•"/>
      <w:lvlJc w:val="left"/>
      <w:pPr>
        <w:ind w:left="4575" w:hanging="361"/>
      </w:pPr>
      <w:rPr>
        <w:rFonts w:hint="default"/>
        <w:lang w:val="en-US" w:eastAsia="en-US" w:bidi="ar-SA"/>
      </w:rPr>
    </w:lvl>
    <w:lvl w:ilvl="7" w:tplc="1FF8DD62"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8" w:tplc="7834E56A">
      <w:numFmt w:val="bullet"/>
      <w:lvlText w:val="•"/>
      <w:lvlJc w:val="left"/>
      <w:pPr>
        <w:ind w:left="5827" w:hanging="361"/>
      </w:pPr>
      <w:rPr>
        <w:rFonts w:hint="default"/>
        <w:lang w:val="en-US" w:eastAsia="en-US" w:bidi="ar-SA"/>
      </w:rPr>
    </w:lvl>
  </w:abstractNum>
  <w:num w:numId="1" w16cid:durableId="1631936771">
    <w:abstractNumId w:val="21"/>
  </w:num>
  <w:num w:numId="2" w16cid:durableId="2113275845">
    <w:abstractNumId w:val="9"/>
  </w:num>
  <w:num w:numId="3" w16cid:durableId="1127092520">
    <w:abstractNumId w:val="14"/>
  </w:num>
  <w:num w:numId="4" w16cid:durableId="1762263765">
    <w:abstractNumId w:val="16"/>
  </w:num>
  <w:num w:numId="5" w16cid:durableId="222452368">
    <w:abstractNumId w:val="15"/>
  </w:num>
  <w:num w:numId="6" w16cid:durableId="105319757">
    <w:abstractNumId w:val="7"/>
  </w:num>
  <w:num w:numId="7" w16cid:durableId="1105424254">
    <w:abstractNumId w:val="6"/>
  </w:num>
  <w:num w:numId="8" w16cid:durableId="1684623955">
    <w:abstractNumId w:val="5"/>
  </w:num>
  <w:num w:numId="9" w16cid:durableId="755904658">
    <w:abstractNumId w:val="4"/>
  </w:num>
  <w:num w:numId="10" w16cid:durableId="1336880475">
    <w:abstractNumId w:val="8"/>
  </w:num>
  <w:num w:numId="11" w16cid:durableId="851991029">
    <w:abstractNumId w:val="3"/>
  </w:num>
  <w:num w:numId="12" w16cid:durableId="1287662893">
    <w:abstractNumId w:val="2"/>
  </w:num>
  <w:num w:numId="13" w16cid:durableId="1675913811">
    <w:abstractNumId w:val="1"/>
  </w:num>
  <w:num w:numId="14" w16cid:durableId="1759058540">
    <w:abstractNumId w:val="0"/>
  </w:num>
  <w:num w:numId="15" w16cid:durableId="1286080244">
    <w:abstractNumId w:val="21"/>
  </w:num>
  <w:num w:numId="16" w16cid:durableId="1342589953">
    <w:abstractNumId w:val="9"/>
  </w:num>
  <w:num w:numId="17" w16cid:durableId="24645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5281043">
    <w:abstractNumId w:val="18"/>
  </w:num>
  <w:num w:numId="19" w16cid:durableId="427774100">
    <w:abstractNumId w:val="19"/>
  </w:num>
  <w:num w:numId="20" w16cid:durableId="1243294437">
    <w:abstractNumId w:val="20"/>
  </w:num>
  <w:num w:numId="21" w16cid:durableId="953706850">
    <w:abstractNumId w:val="11"/>
  </w:num>
  <w:num w:numId="22" w16cid:durableId="241067207">
    <w:abstractNumId w:val="22"/>
  </w:num>
  <w:num w:numId="23" w16cid:durableId="1051417322">
    <w:abstractNumId w:val="12"/>
  </w:num>
  <w:num w:numId="24" w16cid:durableId="1200171262">
    <w:abstractNumId w:val="13"/>
  </w:num>
  <w:num w:numId="25" w16cid:durableId="339312334">
    <w:abstractNumId w:val="10"/>
  </w:num>
  <w:num w:numId="26" w16cid:durableId="159169227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1089"/>
    <w:rsid w:val="00003858"/>
    <w:rsid w:val="0001098B"/>
    <w:rsid w:val="0002199E"/>
    <w:rsid w:val="0002266C"/>
    <w:rsid w:val="00023E12"/>
    <w:rsid w:val="0003471A"/>
    <w:rsid w:val="00035F41"/>
    <w:rsid w:val="00037E99"/>
    <w:rsid w:val="00041982"/>
    <w:rsid w:val="00042E65"/>
    <w:rsid w:val="00043E92"/>
    <w:rsid w:val="00052680"/>
    <w:rsid w:val="00054684"/>
    <w:rsid w:val="00056123"/>
    <w:rsid w:val="000626CD"/>
    <w:rsid w:val="000627DD"/>
    <w:rsid w:val="00063A80"/>
    <w:rsid w:val="0007329C"/>
    <w:rsid w:val="00073C07"/>
    <w:rsid w:val="000776FB"/>
    <w:rsid w:val="00077ED0"/>
    <w:rsid w:val="000858B1"/>
    <w:rsid w:val="00092CEB"/>
    <w:rsid w:val="00092DEE"/>
    <w:rsid w:val="000945CA"/>
    <w:rsid w:val="00097673"/>
    <w:rsid w:val="000A110E"/>
    <w:rsid w:val="000A5C8A"/>
    <w:rsid w:val="000A6C10"/>
    <w:rsid w:val="000A6D78"/>
    <w:rsid w:val="000B0131"/>
    <w:rsid w:val="000B2982"/>
    <w:rsid w:val="000B6A3E"/>
    <w:rsid w:val="000C30B6"/>
    <w:rsid w:val="000C58B8"/>
    <w:rsid w:val="000E61C9"/>
    <w:rsid w:val="000F0E47"/>
    <w:rsid w:val="000F3848"/>
    <w:rsid w:val="000F6D5A"/>
    <w:rsid w:val="0010711A"/>
    <w:rsid w:val="00117BC1"/>
    <w:rsid w:val="00121C4C"/>
    <w:rsid w:val="00121D30"/>
    <w:rsid w:val="001233C4"/>
    <w:rsid w:val="001254AA"/>
    <w:rsid w:val="00126AE7"/>
    <w:rsid w:val="00127DAD"/>
    <w:rsid w:val="0013587A"/>
    <w:rsid w:val="00143540"/>
    <w:rsid w:val="001454AE"/>
    <w:rsid w:val="00150BDE"/>
    <w:rsid w:val="00163107"/>
    <w:rsid w:val="00164631"/>
    <w:rsid w:val="0017211A"/>
    <w:rsid w:val="0017455B"/>
    <w:rsid w:val="0017483D"/>
    <w:rsid w:val="001765E7"/>
    <w:rsid w:val="00177C5A"/>
    <w:rsid w:val="00177D2D"/>
    <w:rsid w:val="00185215"/>
    <w:rsid w:val="00193058"/>
    <w:rsid w:val="00194F5F"/>
    <w:rsid w:val="00197BBF"/>
    <w:rsid w:val="00197FB1"/>
    <w:rsid w:val="001B0C7F"/>
    <w:rsid w:val="001D058D"/>
    <w:rsid w:val="001D2929"/>
    <w:rsid w:val="001D4434"/>
    <w:rsid w:val="001D492C"/>
    <w:rsid w:val="001E1668"/>
    <w:rsid w:val="001E62CB"/>
    <w:rsid w:val="001F1ECD"/>
    <w:rsid w:val="001F2CCF"/>
    <w:rsid w:val="001F63E2"/>
    <w:rsid w:val="00203DE5"/>
    <w:rsid w:val="002113EC"/>
    <w:rsid w:val="00215DEE"/>
    <w:rsid w:val="00215F95"/>
    <w:rsid w:val="00216872"/>
    <w:rsid w:val="00217670"/>
    <w:rsid w:val="00223798"/>
    <w:rsid w:val="00232932"/>
    <w:rsid w:val="00235991"/>
    <w:rsid w:val="00237DA1"/>
    <w:rsid w:val="00240015"/>
    <w:rsid w:val="00250BF2"/>
    <w:rsid w:val="00255CE2"/>
    <w:rsid w:val="002623AB"/>
    <w:rsid w:val="0026381D"/>
    <w:rsid w:val="002652C2"/>
    <w:rsid w:val="00266A20"/>
    <w:rsid w:val="002715EE"/>
    <w:rsid w:val="00272EB4"/>
    <w:rsid w:val="00274C17"/>
    <w:rsid w:val="002761CC"/>
    <w:rsid w:val="002771D2"/>
    <w:rsid w:val="00281F10"/>
    <w:rsid w:val="00291390"/>
    <w:rsid w:val="00291E6F"/>
    <w:rsid w:val="002929B0"/>
    <w:rsid w:val="002964D2"/>
    <w:rsid w:val="00296A5F"/>
    <w:rsid w:val="00296F74"/>
    <w:rsid w:val="00297C14"/>
    <w:rsid w:val="002A1749"/>
    <w:rsid w:val="002A3194"/>
    <w:rsid w:val="002C2250"/>
    <w:rsid w:val="002D2842"/>
    <w:rsid w:val="002D2B52"/>
    <w:rsid w:val="002D446B"/>
    <w:rsid w:val="002D49E6"/>
    <w:rsid w:val="002D4CC2"/>
    <w:rsid w:val="002E0306"/>
    <w:rsid w:val="002E3D4D"/>
    <w:rsid w:val="002E4036"/>
    <w:rsid w:val="002F01CD"/>
    <w:rsid w:val="002F2387"/>
    <w:rsid w:val="002F49DF"/>
    <w:rsid w:val="00303358"/>
    <w:rsid w:val="003152E0"/>
    <w:rsid w:val="00316604"/>
    <w:rsid w:val="00316D6D"/>
    <w:rsid w:val="0031727B"/>
    <w:rsid w:val="00321586"/>
    <w:rsid w:val="0032186D"/>
    <w:rsid w:val="003354CB"/>
    <w:rsid w:val="003403BB"/>
    <w:rsid w:val="00342298"/>
    <w:rsid w:val="00347DBB"/>
    <w:rsid w:val="00355F8F"/>
    <w:rsid w:val="00365B17"/>
    <w:rsid w:val="00366ADE"/>
    <w:rsid w:val="0036716C"/>
    <w:rsid w:val="00376020"/>
    <w:rsid w:val="00380413"/>
    <w:rsid w:val="00380570"/>
    <w:rsid w:val="00381218"/>
    <w:rsid w:val="00383E16"/>
    <w:rsid w:val="00387234"/>
    <w:rsid w:val="00390D50"/>
    <w:rsid w:val="00392C1D"/>
    <w:rsid w:val="00392FB9"/>
    <w:rsid w:val="00393B6B"/>
    <w:rsid w:val="00396551"/>
    <w:rsid w:val="00397F0C"/>
    <w:rsid w:val="003A1CC6"/>
    <w:rsid w:val="003A2382"/>
    <w:rsid w:val="003B56AB"/>
    <w:rsid w:val="003C1483"/>
    <w:rsid w:val="003C31D8"/>
    <w:rsid w:val="003C3383"/>
    <w:rsid w:val="003C4436"/>
    <w:rsid w:val="003C7215"/>
    <w:rsid w:val="003D1770"/>
    <w:rsid w:val="003D64CD"/>
    <w:rsid w:val="003E1590"/>
    <w:rsid w:val="003F571C"/>
    <w:rsid w:val="00400BC5"/>
    <w:rsid w:val="0040764D"/>
    <w:rsid w:val="004103B9"/>
    <w:rsid w:val="00414D84"/>
    <w:rsid w:val="0042142B"/>
    <w:rsid w:val="00424303"/>
    <w:rsid w:val="00435213"/>
    <w:rsid w:val="00440775"/>
    <w:rsid w:val="00440C5B"/>
    <w:rsid w:val="0044231C"/>
    <w:rsid w:val="004457C7"/>
    <w:rsid w:val="004529D5"/>
    <w:rsid w:val="00461DEA"/>
    <w:rsid w:val="00464CC8"/>
    <w:rsid w:val="004661A2"/>
    <w:rsid w:val="00466E52"/>
    <w:rsid w:val="004724A6"/>
    <w:rsid w:val="0047509D"/>
    <w:rsid w:val="00490077"/>
    <w:rsid w:val="004968BE"/>
    <w:rsid w:val="004A1E57"/>
    <w:rsid w:val="004A2133"/>
    <w:rsid w:val="004A48EA"/>
    <w:rsid w:val="004B06B1"/>
    <w:rsid w:val="004B516C"/>
    <w:rsid w:val="004B7529"/>
    <w:rsid w:val="004C0BAE"/>
    <w:rsid w:val="004C3145"/>
    <w:rsid w:val="004C4720"/>
    <w:rsid w:val="004C6818"/>
    <w:rsid w:val="004C7715"/>
    <w:rsid w:val="004D0B2E"/>
    <w:rsid w:val="004D2560"/>
    <w:rsid w:val="004E380C"/>
    <w:rsid w:val="004E3938"/>
    <w:rsid w:val="0050052A"/>
    <w:rsid w:val="005007C0"/>
    <w:rsid w:val="00501AA4"/>
    <w:rsid w:val="00511C33"/>
    <w:rsid w:val="00520B94"/>
    <w:rsid w:val="00525602"/>
    <w:rsid w:val="00525F7E"/>
    <w:rsid w:val="00530AA7"/>
    <w:rsid w:val="00532B84"/>
    <w:rsid w:val="005333B0"/>
    <w:rsid w:val="0053773E"/>
    <w:rsid w:val="00545EC7"/>
    <w:rsid w:val="00553638"/>
    <w:rsid w:val="00563CCB"/>
    <w:rsid w:val="00566FE9"/>
    <w:rsid w:val="00570DA0"/>
    <w:rsid w:val="0057288E"/>
    <w:rsid w:val="005728CD"/>
    <w:rsid w:val="00573BAC"/>
    <w:rsid w:val="00576207"/>
    <w:rsid w:val="005904BE"/>
    <w:rsid w:val="00591159"/>
    <w:rsid w:val="00596D2D"/>
    <w:rsid w:val="005A1925"/>
    <w:rsid w:val="005B0E7F"/>
    <w:rsid w:val="005B118D"/>
    <w:rsid w:val="005B2D97"/>
    <w:rsid w:val="005C76D2"/>
    <w:rsid w:val="005D0F5C"/>
    <w:rsid w:val="005D3159"/>
    <w:rsid w:val="005E1145"/>
    <w:rsid w:val="005E1703"/>
    <w:rsid w:val="005E3921"/>
    <w:rsid w:val="005F210C"/>
    <w:rsid w:val="0060579B"/>
    <w:rsid w:val="00620FC1"/>
    <w:rsid w:val="006219B3"/>
    <w:rsid w:val="006261DA"/>
    <w:rsid w:val="00633068"/>
    <w:rsid w:val="00642E22"/>
    <w:rsid w:val="0065350E"/>
    <w:rsid w:val="006557E1"/>
    <w:rsid w:val="00657088"/>
    <w:rsid w:val="0066015D"/>
    <w:rsid w:val="00661261"/>
    <w:rsid w:val="006612EB"/>
    <w:rsid w:val="0066581B"/>
    <w:rsid w:val="0066616A"/>
    <w:rsid w:val="006723BD"/>
    <w:rsid w:val="00683207"/>
    <w:rsid w:val="00684E13"/>
    <w:rsid w:val="00694952"/>
    <w:rsid w:val="006A1BE6"/>
    <w:rsid w:val="006A1E02"/>
    <w:rsid w:val="006A3C91"/>
    <w:rsid w:val="006B214C"/>
    <w:rsid w:val="006B5E2E"/>
    <w:rsid w:val="006C2596"/>
    <w:rsid w:val="006C4D37"/>
    <w:rsid w:val="006D0BC0"/>
    <w:rsid w:val="006D230C"/>
    <w:rsid w:val="006D26CE"/>
    <w:rsid w:val="006D2CC0"/>
    <w:rsid w:val="006E0421"/>
    <w:rsid w:val="006E08C6"/>
    <w:rsid w:val="006E2FC1"/>
    <w:rsid w:val="006E4EA4"/>
    <w:rsid w:val="006F639D"/>
    <w:rsid w:val="0070116B"/>
    <w:rsid w:val="00703A97"/>
    <w:rsid w:val="00706EE4"/>
    <w:rsid w:val="00710EE3"/>
    <w:rsid w:val="00714340"/>
    <w:rsid w:val="007252A8"/>
    <w:rsid w:val="007302CC"/>
    <w:rsid w:val="007343DF"/>
    <w:rsid w:val="007358C4"/>
    <w:rsid w:val="00752BC2"/>
    <w:rsid w:val="00753103"/>
    <w:rsid w:val="0075665D"/>
    <w:rsid w:val="0076161A"/>
    <w:rsid w:val="00762358"/>
    <w:rsid w:val="0076284A"/>
    <w:rsid w:val="007657C5"/>
    <w:rsid w:val="007700F7"/>
    <w:rsid w:val="0077369D"/>
    <w:rsid w:val="00773BC6"/>
    <w:rsid w:val="00774D9E"/>
    <w:rsid w:val="007761FB"/>
    <w:rsid w:val="00782C01"/>
    <w:rsid w:val="00783AC6"/>
    <w:rsid w:val="00786BF1"/>
    <w:rsid w:val="007875ED"/>
    <w:rsid w:val="00793F5C"/>
    <w:rsid w:val="007A58C0"/>
    <w:rsid w:val="007A782B"/>
    <w:rsid w:val="007B150D"/>
    <w:rsid w:val="007C2307"/>
    <w:rsid w:val="007C564E"/>
    <w:rsid w:val="007D0E81"/>
    <w:rsid w:val="007D1157"/>
    <w:rsid w:val="007D200B"/>
    <w:rsid w:val="007D7F5E"/>
    <w:rsid w:val="007E148D"/>
    <w:rsid w:val="007F30C7"/>
    <w:rsid w:val="007F647E"/>
    <w:rsid w:val="0080285D"/>
    <w:rsid w:val="00824417"/>
    <w:rsid w:val="008250E2"/>
    <w:rsid w:val="00830D9A"/>
    <w:rsid w:val="0083122D"/>
    <w:rsid w:val="00833DC4"/>
    <w:rsid w:val="008358E7"/>
    <w:rsid w:val="00840EFA"/>
    <w:rsid w:val="00843E30"/>
    <w:rsid w:val="00845372"/>
    <w:rsid w:val="00845C58"/>
    <w:rsid w:val="00846E56"/>
    <w:rsid w:val="00854C98"/>
    <w:rsid w:val="008626AA"/>
    <w:rsid w:val="008631A5"/>
    <w:rsid w:val="00867700"/>
    <w:rsid w:val="008815D8"/>
    <w:rsid w:val="0088584D"/>
    <w:rsid w:val="00886E6E"/>
    <w:rsid w:val="008911E4"/>
    <w:rsid w:val="008A1F74"/>
    <w:rsid w:val="008A2AFB"/>
    <w:rsid w:val="008A7171"/>
    <w:rsid w:val="008A7361"/>
    <w:rsid w:val="008B02EB"/>
    <w:rsid w:val="008C5DC1"/>
    <w:rsid w:val="008D7EFC"/>
    <w:rsid w:val="008E18BD"/>
    <w:rsid w:val="008E34DC"/>
    <w:rsid w:val="008E6F71"/>
    <w:rsid w:val="008F0539"/>
    <w:rsid w:val="00916AF7"/>
    <w:rsid w:val="009239C6"/>
    <w:rsid w:val="00933297"/>
    <w:rsid w:val="0094045E"/>
    <w:rsid w:val="00944008"/>
    <w:rsid w:val="00954A09"/>
    <w:rsid w:val="0095620D"/>
    <w:rsid w:val="009567D2"/>
    <w:rsid w:val="009602C7"/>
    <w:rsid w:val="00967403"/>
    <w:rsid w:val="00976958"/>
    <w:rsid w:val="00986F86"/>
    <w:rsid w:val="00992BCE"/>
    <w:rsid w:val="009964BF"/>
    <w:rsid w:val="009A6E51"/>
    <w:rsid w:val="009C2D28"/>
    <w:rsid w:val="009C3043"/>
    <w:rsid w:val="009D2A97"/>
    <w:rsid w:val="009D40AE"/>
    <w:rsid w:val="009E1877"/>
    <w:rsid w:val="009E3E4E"/>
    <w:rsid w:val="009E6B9F"/>
    <w:rsid w:val="009F3FC4"/>
    <w:rsid w:val="009F7FE4"/>
    <w:rsid w:val="00A16726"/>
    <w:rsid w:val="00A26AEF"/>
    <w:rsid w:val="00A26CA2"/>
    <w:rsid w:val="00A31503"/>
    <w:rsid w:val="00A31523"/>
    <w:rsid w:val="00A35095"/>
    <w:rsid w:val="00A43B6C"/>
    <w:rsid w:val="00A44533"/>
    <w:rsid w:val="00A52B71"/>
    <w:rsid w:val="00A64252"/>
    <w:rsid w:val="00A64930"/>
    <w:rsid w:val="00A66AAD"/>
    <w:rsid w:val="00A7126F"/>
    <w:rsid w:val="00A8272B"/>
    <w:rsid w:val="00A871DC"/>
    <w:rsid w:val="00A933D0"/>
    <w:rsid w:val="00AA413D"/>
    <w:rsid w:val="00AB030C"/>
    <w:rsid w:val="00AB51EC"/>
    <w:rsid w:val="00AB5509"/>
    <w:rsid w:val="00AC641B"/>
    <w:rsid w:val="00AC77DE"/>
    <w:rsid w:val="00AD2BDC"/>
    <w:rsid w:val="00AE1E3F"/>
    <w:rsid w:val="00AE24CA"/>
    <w:rsid w:val="00AF1C2B"/>
    <w:rsid w:val="00AF28A2"/>
    <w:rsid w:val="00AF71AF"/>
    <w:rsid w:val="00B06BD2"/>
    <w:rsid w:val="00B1116D"/>
    <w:rsid w:val="00B143E6"/>
    <w:rsid w:val="00B174C0"/>
    <w:rsid w:val="00B17C7F"/>
    <w:rsid w:val="00B374A9"/>
    <w:rsid w:val="00B408AC"/>
    <w:rsid w:val="00B54143"/>
    <w:rsid w:val="00B544BA"/>
    <w:rsid w:val="00B56A6C"/>
    <w:rsid w:val="00B6170F"/>
    <w:rsid w:val="00B669D2"/>
    <w:rsid w:val="00B8054E"/>
    <w:rsid w:val="00B86119"/>
    <w:rsid w:val="00B90E8D"/>
    <w:rsid w:val="00B964F6"/>
    <w:rsid w:val="00BA12A1"/>
    <w:rsid w:val="00BA1766"/>
    <w:rsid w:val="00BA54E0"/>
    <w:rsid w:val="00BB3DEF"/>
    <w:rsid w:val="00BB4B18"/>
    <w:rsid w:val="00BC2C8D"/>
    <w:rsid w:val="00BC6ADA"/>
    <w:rsid w:val="00BD0B3B"/>
    <w:rsid w:val="00BD195D"/>
    <w:rsid w:val="00BD5DA9"/>
    <w:rsid w:val="00BE43AE"/>
    <w:rsid w:val="00BF5726"/>
    <w:rsid w:val="00C00ABA"/>
    <w:rsid w:val="00C011D5"/>
    <w:rsid w:val="00C02DA8"/>
    <w:rsid w:val="00C106E2"/>
    <w:rsid w:val="00C1447F"/>
    <w:rsid w:val="00C2295A"/>
    <w:rsid w:val="00C35BA3"/>
    <w:rsid w:val="00C406C1"/>
    <w:rsid w:val="00C407A9"/>
    <w:rsid w:val="00C41DE5"/>
    <w:rsid w:val="00C52878"/>
    <w:rsid w:val="00C54FA6"/>
    <w:rsid w:val="00C77A2C"/>
    <w:rsid w:val="00C800E3"/>
    <w:rsid w:val="00C84C21"/>
    <w:rsid w:val="00C91B83"/>
    <w:rsid w:val="00C96238"/>
    <w:rsid w:val="00CA0BE1"/>
    <w:rsid w:val="00CB081C"/>
    <w:rsid w:val="00CB126F"/>
    <w:rsid w:val="00CB245E"/>
    <w:rsid w:val="00CB46BF"/>
    <w:rsid w:val="00CC4F46"/>
    <w:rsid w:val="00CC51B0"/>
    <w:rsid w:val="00CC54CA"/>
    <w:rsid w:val="00CD3045"/>
    <w:rsid w:val="00CE19F1"/>
    <w:rsid w:val="00CE1AD1"/>
    <w:rsid w:val="00D00DB8"/>
    <w:rsid w:val="00D14913"/>
    <w:rsid w:val="00D16170"/>
    <w:rsid w:val="00D21BAC"/>
    <w:rsid w:val="00D23490"/>
    <w:rsid w:val="00D23876"/>
    <w:rsid w:val="00D25DCF"/>
    <w:rsid w:val="00D30C69"/>
    <w:rsid w:val="00D3201A"/>
    <w:rsid w:val="00D33C0E"/>
    <w:rsid w:val="00D34692"/>
    <w:rsid w:val="00D40239"/>
    <w:rsid w:val="00D4034E"/>
    <w:rsid w:val="00D40C63"/>
    <w:rsid w:val="00D411DF"/>
    <w:rsid w:val="00D47A10"/>
    <w:rsid w:val="00D518F1"/>
    <w:rsid w:val="00D537D1"/>
    <w:rsid w:val="00D544F4"/>
    <w:rsid w:val="00D65750"/>
    <w:rsid w:val="00D70709"/>
    <w:rsid w:val="00D846C7"/>
    <w:rsid w:val="00DA1B75"/>
    <w:rsid w:val="00DA5373"/>
    <w:rsid w:val="00DB71E8"/>
    <w:rsid w:val="00DC083F"/>
    <w:rsid w:val="00DC188E"/>
    <w:rsid w:val="00DC55D8"/>
    <w:rsid w:val="00DD2F96"/>
    <w:rsid w:val="00DD5BF0"/>
    <w:rsid w:val="00DE1F65"/>
    <w:rsid w:val="00DE3892"/>
    <w:rsid w:val="00DF6864"/>
    <w:rsid w:val="00E026BA"/>
    <w:rsid w:val="00E03773"/>
    <w:rsid w:val="00E05F27"/>
    <w:rsid w:val="00E140E6"/>
    <w:rsid w:val="00E17418"/>
    <w:rsid w:val="00E229C1"/>
    <w:rsid w:val="00E3357D"/>
    <w:rsid w:val="00E36C6A"/>
    <w:rsid w:val="00E420D5"/>
    <w:rsid w:val="00E43216"/>
    <w:rsid w:val="00E43656"/>
    <w:rsid w:val="00E437C3"/>
    <w:rsid w:val="00E50231"/>
    <w:rsid w:val="00E52115"/>
    <w:rsid w:val="00E55C69"/>
    <w:rsid w:val="00E643C2"/>
    <w:rsid w:val="00E704FE"/>
    <w:rsid w:val="00E71C01"/>
    <w:rsid w:val="00E75149"/>
    <w:rsid w:val="00E90EF0"/>
    <w:rsid w:val="00E9357B"/>
    <w:rsid w:val="00E95CBA"/>
    <w:rsid w:val="00E95E12"/>
    <w:rsid w:val="00E977D2"/>
    <w:rsid w:val="00EA3E24"/>
    <w:rsid w:val="00EB0EBD"/>
    <w:rsid w:val="00EB0FD1"/>
    <w:rsid w:val="00EB5069"/>
    <w:rsid w:val="00EB7800"/>
    <w:rsid w:val="00EC02F7"/>
    <w:rsid w:val="00EC3684"/>
    <w:rsid w:val="00EC7B6B"/>
    <w:rsid w:val="00ED101F"/>
    <w:rsid w:val="00ED3AB9"/>
    <w:rsid w:val="00EF20B0"/>
    <w:rsid w:val="00F0060B"/>
    <w:rsid w:val="00F105A5"/>
    <w:rsid w:val="00F22678"/>
    <w:rsid w:val="00F24F5D"/>
    <w:rsid w:val="00F26894"/>
    <w:rsid w:val="00F321C6"/>
    <w:rsid w:val="00F4033E"/>
    <w:rsid w:val="00F424CC"/>
    <w:rsid w:val="00F45D04"/>
    <w:rsid w:val="00F50F29"/>
    <w:rsid w:val="00F520DD"/>
    <w:rsid w:val="00F564E3"/>
    <w:rsid w:val="00F6628D"/>
    <w:rsid w:val="00F70FDB"/>
    <w:rsid w:val="00F754D0"/>
    <w:rsid w:val="00F760B4"/>
    <w:rsid w:val="00F8161E"/>
    <w:rsid w:val="00F9203C"/>
    <w:rsid w:val="00F93BAC"/>
    <w:rsid w:val="00F96A8B"/>
    <w:rsid w:val="00F97BC1"/>
    <w:rsid w:val="00FA03FB"/>
    <w:rsid w:val="00FA1899"/>
    <w:rsid w:val="00FA52F6"/>
    <w:rsid w:val="00FA771C"/>
    <w:rsid w:val="00FB6D45"/>
    <w:rsid w:val="00FB7D21"/>
    <w:rsid w:val="00FC4262"/>
    <w:rsid w:val="00FC6FAE"/>
    <w:rsid w:val="00FD04FE"/>
    <w:rsid w:val="00FD0E7C"/>
    <w:rsid w:val="00FD1859"/>
    <w:rsid w:val="00FD22D7"/>
    <w:rsid w:val="00FD5DE5"/>
    <w:rsid w:val="00FE4724"/>
    <w:rsid w:val="00FE62C8"/>
    <w:rsid w:val="00FE7865"/>
    <w:rsid w:val="00FF116F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CA2C6026-3E96-4030-AA8E-15728815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F424CC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424CC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F424CC"/>
    <w:pPr>
      <w:widowControl w:val="0"/>
      <w:autoSpaceDE w:val="0"/>
      <w:autoSpaceDN w:val="0"/>
      <w:spacing w:before="93"/>
      <w:ind w:left="107"/>
    </w:pPr>
    <w:rPr>
      <w:rFonts w:eastAsia="Arial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04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48D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6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4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4CD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CD"/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96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cu.edu.au/degrees/uniprep" TargetMode="External"/><Relationship Id="rId26" Type="http://schemas.openxmlformats.org/officeDocument/2006/relationships/hyperlink" Target="https://www.uwa.edu.au/study/how-to-apply/entry-standards" TargetMode="External"/><Relationship Id="rId39" Type="http://schemas.openxmlformats.org/officeDocument/2006/relationships/hyperlink" Target="https://www.ecu.edu.au/future-students/course-entry/experience-based-entry-scheme" TargetMode="External"/><Relationship Id="rId21" Type="http://schemas.openxmlformats.org/officeDocument/2006/relationships/hyperlink" Target="https://www.uwa.edu.au/study/how-to-apply/admission-entry-pathways/enabling-programs" TargetMode="External"/><Relationship Id="rId34" Type="http://schemas.openxmlformats.org/officeDocument/2006/relationships/hyperlink" Target="https://www.ecu.edu.au/degrees/aboriginal-and-or-torres-strait-islanders" TargetMode="External"/><Relationship Id="rId42" Type="http://schemas.openxmlformats.org/officeDocument/2006/relationships/hyperlink" Target="https://www.uwa.edu.au/study/How-to-apply/Admission-entry-pathways/Experience-based-entry" TargetMode="External"/><Relationship Id="rId47" Type="http://schemas.openxmlformats.org/officeDocument/2006/relationships/hyperlink" Target="https://www.tisc.edu.au/static/school-circular/circular-index.tisc" TargetMode="External"/><Relationship Id="rId50" Type="http://schemas.openxmlformats.org/officeDocument/2006/relationships/hyperlink" Target="https://www.tisc.edu.au/static/resources.tisc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hyperlink" Target="https://tisc.edu.au/static/guide/download.tisc" TargetMode="External"/><Relationship Id="rId29" Type="http://schemas.openxmlformats.org/officeDocument/2006/relationships/hyperlink" Target="https://aus01.safelinks.protection.outlook.com/?url=https%3A%2F%2Fstudy.curtin.edu.au%2Fapplying%2Fpathways%2Fportfolio-entry%2F%3Futm_campaign%3Dum-ma-dom-ug-nur-stu%26utm_medium%3Demail%26utm_source%3Dma-12738&amp;data=04%7C01%7Cheather.mcghee%40education.wa.edu.au%7C5b2095ec3c5249d43d2c08d9d5865d47%7Ce08016f9d1fd4cbb83b0b76eb4361627%7C0%7C1%7C637775595327254170%7CUnknown%7CTWFpbGZsb3d8eyJWIjoiMC4wLjAwMDAiLCJQIjoiV2luMzIiLCJBTiI6Ik1haWwiLCJXVCI6Mn0%3D%7C2000&amp;sdata=y0s%2F1Gqwa9m29QktmJI%2FIM70mO1kjIeYPo3UFJTPoZM%3D&amp;reserved=0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murdoch.edu.au/study/pathways-to-uni/vocational-education-and-training" TargetMode="External"/><Relationship Id="rId32" Type="http://schemas.openxmlformats.org/officeDocument/2006/relationships/hyperlink" Target="https://www.murdoch.edu.au/study/pathways-to-uni/enabling-pathways/experience-based-entry/media-portfolio" TargetMode="External"/><Relationship Id="rId37" Type="http://schemas.openxmlformats.org/officeDocument/2006/relationships/hyperlink" Target="https://www.uwa.edu.au/study/indigenous-study" TargetMode="External"/><Relationship Id="rId40" Type="http://schemas.openxmlformats.org/officeDocument/2006/relationships/hyperlink" Target="https://www.murdoch.edu.au/study/pathways-to-uni/enabling-pathways/experience-based-entry" TargetMode="External"/><Relationship Id="rId45" Type="http://schemas.openxmlformats.org/officeDocument/2006/relationships/hyperlink" Target="https://www.tisc.edu.au/static/guide/stat.tisc" TargetMode="External"/><Relationship Id="rId53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hyperlink" Target="https://www.murdoch.edu.au/study/pathways-to-uni/enabling-pathways" TargetMode="External"/><Relationship Id="rId31" Type="http://schemas.openxmlformats.org/officeDocument/2006/relationships/hyperlink" Target="https://www.ecu.edu.au/future-students/course-entry/creative-arts-portfolio-entry" TargetMode="External"/><Relationship Id="rId44" Type="http://schemas.openxmlformats.org/officeDocument/2006/relationships/hyperlink" Target="https://www.tisc.edu.au/static/guide/university-admissions-index.tisc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curtin.edu.au/study/applying/pathways/tafe-vet/" TargetMode="External"/><Relationship Id="rId27" Type="http://schemas.openxmlformats.org/officeDocument/2006/relationships/header" Target="header3.xml"/><Relationship Id="rId30" Type="http://schemas.openxmlformats.org/officeDocument/2006/relationships/hyperlink" Target="https://study.curtin.edu.au/applying/pathways/portfolio-entry" TargetMode="External"/><Relationship Id="rId35" Type="http://schemas.openxmlformats.org/officeDocument/2006/relationships/hyperlink" Target="https://www.murdoch.edu.au/course/Enabling/N1077" TargetMode="External"/><Relationship Id="rId43" Type="http://schemas.openxmlformats.org/officeDocument/2006/relationships/hyperlink" Target="https://www.tisc.edu.au/static/home.tisc" TargetMode="External"/><Relationship Id="rId48" Type="http://schemas.openxmlformats.org/officeDocument/2006/relationships/hyperlink" Target="https://www.tisc.edu.au/static/statistics/scaling/scaling-index.tisc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tisc.edu.au/static/guide/eas.tisc" TargetMode="Externa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hyperlink" Target="https://www.curtin.edu.au/study/applying/pathways/uniready-enabling-program/" TargetMode="External"/><Relationship Id="rId25" Type="http://schemas.openxmlformats.org/officeDocument/2006/relationships/hyperlink" Target="https://www.notredame.edu.au/study/applications-and-admissions/pathways/other-entry-pathways" TargetMode="External"/><Relationship Id="rId33" Type="http://schemas.openxmlformats.org/officeDocument/2006/relationships/hyperlink" Target="https://karda.curtin.edu.au/study/enabling-courses" TargetMode="External"/><Relationship Id="rId38" Type="http://schemas.openxmlformats.org/officeDocument/2006/relationships/hyperlink" Target="https://www.bigpicture.org.au/what-international-big-picture-learning-credential" TargetMode="External"/><Relationship Id="rId46" Type="http://schemas.openxmlformats.org/officeDocument/2006/relationships/hyperlink" Target="https://www.tisc.edu.au/static/guide/waufp.tisc" TargetMode="External"/><Relationship Id="rId20" Type="http://schemas.openxmlformats.org/officeDocument/2006/relationships/hyperlink" Target="https://www.notredame.edu.au/study/pathways/tertiary-pathway-program" TargetMode="External"/><Relationship Id="rId41" Type="http://schemas.openxmlformats.org/officeDocument/2006/relationships/hyperlink" Target="https://www.notredame.edu.au/study/applications-and-admissions/pathways/other-entry-pathways" TargetMode="External"/><Relationship Id="rId54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ecu.edu.au/future-students/course-entry" TargetMode="External"/><Relationship Id="rId28" Type="http://schemas.openxmlformats.org/officeDocument/2006/relationships/footer" Target="footer3.xml"/><Relationship Id="rId36" Type="http://schemas.openxmlformats.org/officeDocument/2006/relationships/hyperlink" Target="https://www.notredame.edu.au/students/support/aboriginal-and-torres-strait-islander-support" TargetMode="External"/><Relationship Id="rId49" Type="http://schemas.openxmlformats.org/officeDocument/2006/relationships/hyperlink" Target="https://www.tisc.edu.au/static/guide/atar-about.ti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5EE8420EBCDB472395E26A67BC25C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AFFBB-5B2B-47C0-88F1-D5DBBC8562AF}"/>
      </w:docPartPr>
      <w:docPartBody>
        <w:p w:rsidR="00492BC5" w:rsidRDefault="007B717F" w:rsidP="007B717F">
          <w:pPr>
            <w:pStyle w:val="5EE8420EBCDB472395E26A67BC25C5E4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C0328"/>
    <w:rsid w:val="00107253"/>
    <w:rsid w:val="001562FA"/>
    <w:rsid w:val="003F43C2"/>
    <w:rsid w:val="00462B0A"/>
    <w:rsid w:val="00492BC5"/>
    <w:rsid w:val="004C60B5"/>
    <w:rsid w:val="004E331B"/>
    <w:rsid w:val="00544DDE"/>
    <w:rsid w:val="00582EC3"/>
    <w:rsid w:val="00716BF8"/>
    <w:rsid w:val="007B717F"/>
    <w:rsid w:val="007C2307"/>
    <w:rsid w:val="00991E2F"/>
    <w:rsid w:val="009E3A0A"/>
    <w:rsid w:val="00B732FB"/>
    <w:rsid w:val="00BB6A92"/>
    <w:rsid w:val="00BF438D"/>
    <w:rsid w:val="00D34692"/>
    <w:rsid w:val="00DC22A5"/>
    <w:rsid w:val="00E52115"/>
    <w:rsid w:val="00E634CA"/>
    <w:rsid w:val="00EE7CC0"/>
    <w:rsid w:val="00EF4D34"/>
    <w:rsid w:val="00EF577B"/>
    <w:rsid w:val="00F93BAC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717F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5EE8420EBCDB472395E26A67BC25C5E4">
    <w:name w:val="5EE8420EBCDB472395E26A67BC25C5E4"/>
    <w:rsid w:val="007B717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Props1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F473E-2F00-4A65-9E3E-3A5637DC7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471FE-5693-4571-8771-3497F5BD1252}"/>
</file>

<file path=customXml/itemProps4.xml><?xml version="1.0" encoding="utf-8"?>
<ds:datastoreItem xmlns:ds="http://schemas.openxmlformats.org/officeDocument/2006/customXml" ds:itemID="{32C54A8E-27D6-456E-BF80-4C5711513C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11366</CharactersWithSpaces>
  <SharedDoc>false</SharedDoc>
  <HLinks>
    <vt:vector size="204" baseType="variant">
      <vt:variant>
        <vt:i4>6029338</vt:i4>
      </vt:variant>
      <vt:variant>
        <vt:i4>99</vt:i4>
      </vt:variant>
      <vt:variant>
        <vt:i4>0</vt:i4>
      </vt:variant>
      <vt:variant>
        <vt:i4>5</vt:i4>
      </vt:variant>
      <vt:variant>
        <vt:lpwstr>https://tisc.edu.au/static/guide/eas.tisc</vt:lpwstr>
      </vt:variant>
      <vt:variant>
        <vt:lpwstr/>
      </vt:variant>
      <vt:variant>
        <vt:i4>1835096</vt:i4>
      </vt:variant>
      <vt:variant>
        <vt:i4>96</vt:i4>
      </vt:variant>
      <vt:variant>
        <vt:i4>0</vt:i4>
      </vt:variant>
      <vt:variant>
        <vt:i4>5</vt:i4>
      </vt:variant>
      <vt:variant>
        <vt:lpwstr>https://www.tisc.edu.au/static/resources.tisc</vt:lpwstr>
      </vt:variant>
      <vt:variant>
        <vt:lpwstr/>
      </vt:variant>
      <vt:variant>
        <vt:i4>655431</vt:i4>
      </vt:variant>
      <vt:variant>
        <vt:i4>93</vt:i4>
      </vt:variant>
      <vt:variant>
        <vt:i4>0</vt:i4>
      </vt:variant>
      <vt:variant>
        <vt:i4>5</vt:i4>
      </vt:variant>
      <vt:variant>
        <vt:lpwstr>https://www.tisc.edu.au/static/guide/atar-about.tisc</vt:lpwstr>
      </vt:variant>
      <vt:variant>
        <vt:lpwstr/>
      </vt:variant>
      <vt:variant>
        <vt:i4>1114137</vt:i4>
      </vt:variant>
      <vt:variant>
        <vt:i4>90</vt:i4>
      </vt:variant>
      <vt:variant>
        <vt:i4>0</vt:i4>
      </vt:variant>
      <vt:variant>
        <vt:i4>5</vt:i4>
      </vt:variant>
      <vt:variant>
        <vt:lpwstr>https://www.tisc.edu.au/static/statistics/scaling/scaling-index.tisc</vt:lpwstr>
      </vt:variant>
      <vt:variant>
        <vt:lpwstr/>
      </vt:variant>
      <vt:variant>
        <vt:i4>3473454</vt:i4>
      </vt:variant>
      <vt:variant>
        <vt:i4>87</vt:i4>
      </vt:variant>
      <vt:variant>
        <vt:i4>0</vt:i4>
      </vt:variant>
      <vt:variant>
        <vt:i4>5</vt:i4>
      </vt:variant>
      <vt:variant>
        <vt:lpwstr>https://www.tisc.edu.au/static/school-circular/circular-index.tisc</vt:lpwstr>
      </vt:variant>
      <vt:variant>
        <vt:lpwstr/>
      </vt:variant>
      <vt:variant>
        <vt:i4>6357116</vt:i4>
      </vt:variant>
      <vt:variant>
        <vt:i4>84</vt:i4>
      </vt:variant>
      <vt:variant>
        <vt:i4>0</vt:i4>
      </vt:variant>
      <vt:variant>
        <vt:i4>5</vt:i4>
      </vt:variant>
      <vt:variant>
        <vt:lpwstr>https://www.tisc.edu.au/static/guide/waufp.tisc</vt:lpwstr>
      </vt:variant>
      <vt:variant>
        <vt:lpwstr/>
      </vt:variant>
      <vt:variant>
        <vt:i4>2228283</vt:i4>
      </vt:variant>
      <vt:variant>
        <vt:i4>81</vt:i4>
      </vt:variant>
      <vt:variant>
        <vt:i4>0</vt:i4>
      </vt:variant>
      <vt:variant>
        <vt:i4>5</vt:i4>
      </vt:variant>
      <vt:variant>
        <vt:lpwstr>https://www.tisc.edu.au/static/guide/stat.tisc</vt:lpwstr>
      </vt:variant>
      <vt:variant>
        <vt:lpwstr/>
      </vt:variant>
      <vt:variant>
        <vt:i4>5701727</vt:i4>
      </vt:variant>
      <vt:variant>
        <vt:i4>78</vt:i4>
      </vt:variant>
      <vt:variant>
        <vt:i4>0</vt:i4>
      </vt:variant>
      <vt:variant>
        <vt:i4>5</vt:i4>
      </vt:variant>
      <vt:variant>
        <vt:lpwstr>https://www.tisc.edu.au/static/guide/university-admissions-index.tisc</vt:lpwstr>
      </vt:variant>
      <vt:variant>
        <vt:lpwstr/>
      </vt:variant>
      <vt:variant>
        <vt:i4>6160399</vt:i4>
      </vt:variant>
      <vt:variant>
        <vt:i4>75</vt:i4>
      </vt:variant>
      <vt:variant>
        <vt:i4>0</vt:i4>
      </vt:variant>
      <vt:variant>
        <vt:i4>5</vt:i4>
      </vt:variant>
      <vt:variant>
        <vt:lpwstr>https://www.tisc.edu.au/static/home.tisc</vt:lpwstr>
      </vt:variant>
      <vt:variant>
        <vt:lpwstr/>
      </vt:variant>
      <vt:variant>
        <vt:i4>4915294</vt:i4>
      </vt:variant>
      <vt:variant>
        <vt:i4>72</vt:i4>
      </vt:variant>
      <vt:variant>
        <vt:i4>0</vt:i4>
      </vt:variant>
      <vt:variant>
        <vt:i4>5</vt:i4>
      </vt:variant>
      <vt:variant>
        <vt:lpwstr>https://www.uwa.edu.au/study/How-to-apply/Admission-entry-pathways/Experience-based-entry</vt:lpwstr>
      </vt:variant>
      <vt:variant>
        <vt:lpwstr/>
      </vt:variant>
      <vt:variant>
        <vt:i4>1245203</vt:i4>
      </vt:variant>
      <vt:variant>
        <vt:i4>69</vt:i4>
      </vt:variant>
      <vt:variant>
        <vt:i4>0</vt:i4>
      </vt:variant>
      <vt:variant>
        <vt:i4>5</vt:i4>
      </vt:variant>
      <vt:variant>
        <vt:lpwstr>https://www.notredame.edu.au/study/applications-and-admissions/pathways/other-entry-pathways</vt:lpwstr>
      </vt:variant>
      <vt:variant>
        <vt:lpwstr/>
      </vt:variant>
      <vt:variant>
        <vt:i4>4784134</vt:i4>
      </vt:variant>
      <vt:variant>
        <vt:i4>66</vt:i4>
      </vt:variant>
      <vt:variant>
        <vt:i4>0</vt:i4>
      </vt:variant>
      <vt:variant>
        <vt:i4>5</vt:i4>
      </vt:variant>
      <vt:variant>
        <vt:lpwstr>https://www.murdoch.edu.au/study/pathways-to-uni/enabling-pathways/experience-based-entry</vt:lpwstr>
      </vt:variant>
      <vt:variant>
        <vt:lpwstr/>
      </vt:variant>
      <vt:variant>
        <vt:i4>1376273</vt:i4>
      </vt:variant>
      <vt:variant>
        <vt:i4>63</vt:i4>
      </vt:variant>
      <vt:variant>
        <vt:i4>0</vt:i4>
      </vt:variant>
      <vt:variant>
        <vt:i4>5</vt:i4>
      </vt:variant>
      <vt:variant>
        <vt:lpwstr>https://www.ecu.edu.au/future-students/course-entry/experience-based-entry-scheme</vt:lpwstr>
      </vt:variant>
      <vt:variant>
        <vt:lpwstr/>
      </vt:variant>
      <vt:variant>
        <vt:i4>4587597</vt:i4>
      </vt:variant>
      <vt:variant>
        <vt:i4>60</vt:i4>
      </vt:variant>
      <vt:variant>
        <vt:i4>0</vt:i4>
      </vt:variant>
      <vt:variant>
        <vt:i4>5</vt:i4>
      </vt:variant>
      <vt:variant>
        <vt:lpwstr>https://www.bigpicture.org.au/what-international-big-picture-learning-credential</vt:lpwstr>
      </vt:variant>
      <vt:variant>
        <vt:lpwstr/>
      </vt:variant>
      <vt:variant>
        <vt:i4>1900621</vt:i4>
      </vt:variant>
      <vt:variant>
        <vt:i4>57</vt:i4>
      </vt:variant>
      <vt:variant>
        <vt:i4>0</vt:i4>
      </vt:variant>
      <vt:variant>
        <vt:i4>5</vt:i4>
      </vt:variant>
      <vt:variant>
        <vt:lpwstr>https://www.uwa.edu.au/study/indigenous-study</vt:lpwstr>
      </vt:variant>
      <vt:variant>
        <vt:lpwstr/>
      </vt:variant>
      <vt:variant>
        <vt:i4>2490418</vt:i4>
      </vt:variant>
      <vt:variant>
        <vt:i4>54</vt:i4>
      </vt:variant>
      <vt:variant>
        <vt:i4>0</vt:i4>
      </vt:variant>
      <vt:variant>
        <vt:i4>5</vt:i4>
      </vt:variant>
      <vt:variant>
        <vt:lpwstr>https://www.notredame.edu.au/students/support/aboriginal-and-torres-strait-islander-support</vt:lpwstr>
      </vt:variant>
      <vt:variant>
        <vt:lpwstr/>
      </vt:variant>
      <vt:variant>
        <vt:i4>655441</vt:i4>
      </vt:variant>
      <vt:variant>
        <vt:i4>51</vt:i4>
      </vt:variant>
      <vt:variant>
        <vt:i4>0</vt:i4>
      </vt:variant>
      <vt:variant>
        <vt:i4>5</vt:i4>
      </vt:variant>
      <vt:variant>
        <vt:lpwstr>https://www.murdoch.edu.au/course/Enabling/N1077</vt:lpwstr>
      </vt:variant>
      <vt:variant>
        <vt:lpwstr/>
      </vt:variant>
      <vt:variant>
        <vt:i4>917582</vt:i4>
      </vt:variant>
      <vt:variant>
        <vt:i4>48</vt:i4>
      </vt:variant>
      <vt:variant>
        <vt:i4>0</vt:i4>
      </vt:variant>
      <vt:variant>
        <vt:i4>5</vt:i4>
      </vt:variant>
      <vt:variant>
        <vt:lpwstr>https://www.ecu.edu.au/degrees/aboriginal-and-or-torres-strait-islanders</vt:lpwstr>
      </vt:variant>
      <vt:variant>
        <vt:lpwstr/>
      </vt:variant>
      <vt:variant>
        <vt:i4>2097277</vt:i4>
      </vt:variant>
      <vt:variant>
        <vt:i4>45</vt:i4>
      </vt:variant>
      <vt:variant>
        <vt:i4>0</vt:i4>
      </vt:variant>
      <vt:variant>
        <vt:i4>5</vt:i4>
      </vt:variant>
      <vt:variant>
        <vt:lpwstr>https://karda.curtin.edu.au/study/enabling-courses</vt:lpwstr>
      </vt:variant>
      <vt:variant>
        <vt:lpwstr/>
      </vt:variant>
      <vt:variant>
        <vt:i4>5898271</vt:i4>
      </vt:variant>
      <vt:variant>
        <vt:i4>42</vt:i4>
      </vt:variant>
      <vt:variant>
        <vt:i4>0</vt:i4>
      </vt:variant>
      <vt:variant>
        <vt:i4>5</vt:i4>
      </vt:variant>
      <vt:variant>
        <vt:lpwstr>https://www.murdoch.edu.au/study/pathways-to-uni/enabling-pathways/experience-based-entry/media-portfolio</vt:lpwstr>
      </vt:variant>
      <vt:variant>
        <vt:lpwstr/>
      </vt:variant>
      <vt:variant>
        <vt:i4>655389</vt:i4>
      </vt:variant>
      <vt:variant>
        <vt:i4>39</vt:i4>
      </vt:variant>
      <vt:variant>
        <vt:i4>0</vt:i4>
      </vt:variant>
      <vt:variant>
        <vt:i4>5</vt:i4>
      </vt:variant>
      <vt:variant>
        <vt:lpwstr>https://www.ecu.edu.au/future-students/course-entry/creative-arts-portfolio-entry</vt:lpwstr>
      </vt:variant>
      <vt:variant>
        <vt:lpwstr/>
      </vt:variant>
      <vt:variant>
        <vt:i4>327698</vt:i4>
      </vt:variant>
      <vt:variant>
        <vt:i4>36</vt:i4>
      </vt:variant>
      <vt:variant>
        <vt:i4>0</vt:i4>
      </vt:variant>
      <vt:variant>
        <vt:i4>5</vt:i4>
      </vt:variant>
      <vt:variant>
        <vt:lpwstr>https://study.curtin.edu.au/applying/pathways/portfolio-entry</vt:lpwstr>
      </vt:variant>
      <vt:variant>
        <vt:lpwstr/>
      </vt:variant>
      <vt:variant>
        <vt:i4>5832805</vt:i4>
      </vt:variant>
      <vt:variant>
        <vt:i4>33</vt:i4>
      </vt:variant>
      <vt:variant>
        <vt:i4>0</vt:i4>
      </vt:variant>
      <vt:variant>
        <vt:i4>5</vt:i4>
      </vt:variant>
      <vt:variant>
        <vt:lpwstr>https://aus01.safelinks.protection.outlook.com/?url=https%3A%2F%2Fstudy.curtin.edu.au%2Fapplying%2Fpathways%2Fportfolio-entry%2F%3Futm_campaign%3Dum-ma-dom-ug-nur-stu%26utm_medium%3Demail%26utm_source%3Dma-12738&amp;data=04%7C01%7Cheather.mcghee%40education.wa.edu.au%7C5b2095ec3c5249d43d2c08d9d5865d47%7Ce08016f9d1fd4cbb83b0b76eb4361627%7C0%7C1%7C637775595327254170%7CUnknown%7CTWFpbGZsb3d8eyJWIjoiMC4wLjAwMDAiLCJQIjoiV2luMzIiLCJBTiI6Ik1haWwiLCJXVCI6Mn0%3D%7C2000&amp;sdata=y0s%2F1Gqwa9m29QktmJI%2FIM70mO1kjIeYPo3UFJTPoZM%3D&amp;reserved=0</vt:lpwstr>
      </vt:variant>
      <vt:variant>
        <vt:lpwstr/>
      </vt:variant>
      <vt:variant>
        <vt:i4>655388</vt:i4>
      </vt:variant>
      <vt:variant>
        <vt:i4>30</vt:i4>
      </vt:variant>
      <vt:variant>
        <vt:i4>0</vt:i4>
      </vt:variant>
      <vt:variant>
        <vt:i4>5</vt:i4>
      </vt:variant>
      <vt:variant>
        <vt:lpwstr>https://www.uwa.edu.au/study/how-to-apply/entry-standards</vt:lpwstr>
      </vt:variant>
      <vt:variant>
        <vt:lpwstr/>
      </vt:variant>
      <vt:variant>
        <vt:i4>1245203</vt:i4>
      </vt:variant>
      <vt:variant>
        <vt:i4>27</vt:i4>
      </vt:variant>
      <vt:variant>
        <vt:i4>0</vt:i4>
      </vt:variant>
      <vt:variant>
        <vt:i4>5</vt:i4>
      </vt:variant>
      <vt:variant>
        <vt:lpwstr>https://www.notredame.edu.au/study/applications-and-admissions/pathways/other-entry-pathways</vt:lpwstr>
      </vt:variant>
      <vt:variant>
        <vt:lpwstr/>
      </vt:variant>
      <vt:variant>
        <vt:i4>2424889</vt:i4>
      </vt:variant>
      <vt:variant>
        <vt:i4>24</vt:i4>
      </vt:variant>
      <vt:variant>
        <vt:i4>0</vt:i4>
      </vt:variant>
      <vt:variant>
        <vt:i4>5</vt:i4>
      </vt:variant>
      <vt:variant>
        <vt:lpwstr>https://www.murdoch.edu.au/study/pathways-to-uni/vocational-education-and-training</vt:lpwstr>
      </vt:variant>
      <vt:variant>
        <vt:lpwstr/>
      </vt:variant>
      <vt:variant>
        <vt:i4>3014714</vt:i4>
      </vt:variant>
      <vt:variant>
        <vt:i4>21</vt:i4>
      </vt:variant>
      <vt:variant>
        <vt:i4>0</vt:i4>
      </vt:variant>
      <vt:variant>
        <vt:i4>5</vt:i4>
      </vt:variant>
      <vt:variant>
        <vt:lpwstr>https://www.ecu.edu.au/future-students/course-entry</vt:lpwstr>
      </vt:variant>
      <vt:variant>
        <vt:lpwstr/>
      </vt:variant>
      <vt:variant>
        <vt:i4>7798846</vt:i4>
      </vt:variant>
      <vt:variant>
        <vt:i4>18</vt:i4>
      </vt:variant>
      <vt:variant>
        <vt:i4>0</vt:i4>
      </vt:variant>
      <vt:variant>
        <vt:i4>5</vt:i4>
      </vt:variant>
      <vt:variant>
        <vt:lpwstr>https://www.curtin.edu.au/study/applying/pathways/tafe-vet/</vt:lpwstr>
      </vt:variant>
      <vt:variant>
        <vt:lpwstr/>
      </vt:variant>
      <vt:variant>
        <vt:i4>1966151</vt:i4>
      </vt:variant>
      <vt:variant>
        <vt:i4>15</vt:i4>
      </vt:variant>
      <vt:variant>
        <vt:i4>0</vt:i4>
      </vt:variant>
      <vt:variant>
        <vt:i4>5</vt:i4>
      </vt:variant>
      <vt:variant>
        <vt:lpwstr>https://www.uwa.edu.au/study/how-to-apply/admission-entry-pathways/enabling-programs</vt:lpwstr>
      </vt:variant>
      <vt:variant>
        <vt:lpwstr/>
      </vt:variant>
      <vt:variant>
        <vt:i4>1310784</vt:i4>
      </vt:variant>
      <vt:variant>
        <vt:i4>12</vt:i4>
      </vt:variant>
      <vt:variant>
        <vt:i4>0</vt:i4>
      </vt:variant>
      <vt:variant>
        <vt:i4>5</vt:i4>
      </vt:variant>
      <vt:variant>
        <vt:lpwstr>https://www.notredame.edu.au/study/pathways/tertiary-pathway-program</vt:lpwstr>
      </vt:variant>
      <vt:variant>
        <vt:lpwstr/>
      </vt:variant>
      <vt:variant>
        <vt:i4>3145778</vt:i4>
      </vt:variant>
      <vt:variant>
        <vt:i4>9</vt:i4>
      </vt:variant>
      <vt:variant>
        <vt:i4>0</vt:i4>
      </vt:variant>
      <vt:variant>
        <vt:i4>5</vt:i4>
      </vt:variant>
      <vt:variant>
        <vt:lpwstr>https://www.murdoch.edu.au/study/pathways-to-uni/enabling-pathways</vt:lpwstr>
      </vt:variant>
      <vt:variant>
        <vt:lpwstr/>
      </vt:variant>
      <vt:variant>
        <vt:i4>3211304</vt:i4>
      </vt:variant>
      <vt:variant>
        <vt:i4>6</vt:i4>
      </vt:variant>
      <vt:variant>
        <vt:i4>0</vt:i4>
      </vt:variant>
      <vt:variant>
        <vt:i4>5</vt:i4>
      </vt:variant>
      <vt:variant>
        <vt:lpwstr>https://www.ecu.edu.au/degrees/uniprep</vt:lpwstr>
      </vt:variant>
      <vt:variant>
        <vt:lpwstr/>
      </vt:variant>
      <vt:variant>
        <vt:i4>327766</vt:i4>
      </vt:variant>
      <vt:variant>
        <vt:i4>3</vt:i4>
      </vt:variant>
      <vt:variant>
        <vt:i4>0</vt:i4>
      </vt:variant>
      <vt:variant>
        <vt:i4>5</vt:i4>
      </vt:variant>
      <vt:variant>
        <vt:lpwstr>https://www.curtin.edu.au/study/applying/pathways/uniready-enabling-program/</vt:lpwstr>
      </vt:variant>
      <vt:variant>
        <vt:lpwstr/>
      </vt:variant>
      <vt:variant>
        <vt:i4>7798833</vt:i4>
      </vt:variant>
      <vt:variant>
        <vt:i4>0</vt:i4>
      </vt:variant>
      <vt:variant>
        <vt:i4>0</vt:i4>
      </vt:variant>
      <vt:variant>
        <vt:i4>5</vt:i4>
      </vt:variant>
      <vt:variant>
        <vt:lpwstr>https://tisc.edu.au/static/guide/download.tisc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77</cp:revision>
  <cp:lastPrinted>2023-03-10T01:43:00Z</cp:lastPrinted>
  <dcterms:created xsi:type="dcterms:W3CDTF">2024-04-19T03:01:00Z</dcterms:created>
  <dcterms:modified xsi:type="dcterms:W3CDTF">2025-04-09T01:45:00Z</dcterms:modified>
  <cp:contentStatus>D24/0269520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