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D5A2" w14:textId="2BCFFDDE" w:rsidR="002E0754" w:rsidRPr="00DC64DF" w:rsidRDefault="00A6602E" w:rsidP="000556EB">
      <w:pPr>
        <w:pStyle w:val="Heading1"/>
        <w:spacing w:before="0"/>
        <w:rPr>
          <w:rFonts w:ascii="DengXian" w:eastAsia="DengXian" w:hAnsi="DengXian"/>
          <w:sz w:val="48"/>
          <w:szCs w:val="48"/>
        </w:rPr>
      </w:pPr>
      <w:bookmarkStart w:id="0" w:name="_Hlk103166844"/>
      <w:bookmarkStart w:id="1" w:name="_Toc84334888"/>
      <w:r w:rsidRPr="00DC64DF">
        <w:rPr>
          <w:rFonts w:ascii="DengXian" w:eastAsia="DengXian" w:hAnsi="DengXian"/>
          <w:bCs/>
          <w:sz w:val="48"/>
          <w:szCs w:val="48"/>
          <w:lang w:eastAsia="zh-HK"/>
        </w:rPr>
        <w:t>瞭解WACE以及11年級和12年級的選擇</w:t>
      </w:r>
    </w:p>
    <w:p w14:paraId="0B0DC4B8" w14:textId="2D58F194" w:rsidR="00CB54C3" w:rsidRPr="00DC64DF" w:rsidRDefault="00CB54C3" w:rsidP="000556EB">
      <w:pPr>
        <w:pStyle w:val="Title"/>
        <w:spacing w:after="120"/>
        <w:rPr>
          <w:rFonts w:ascii="DengXian" w:eastAsia="DengXian" w:hAnsi="DengXian"/>
          <w:b w:val="0"/>
          <w:color w:val="auto"/>
          <w:sz w:val="36"/>
        </w:rPr>
      </w:pPr>
      <w:r w:rsidRPr="00DC64DF">
        <w:rPr>
          <w:rFonts w:ascii="DengXian" w:eastAsia="DengXian" w:hAnsi="DengXian"/>
          <w:bCs/>
          <w:color w:val="auto"/>
          <w:sz w:val="36"/>
          <w:lang w:eastAsia="zh-HK"/>
        </w:rPr>
        <w:t>給父母及照顧者的資訊</w:t>
      </w:r>
    </w:p>
    <w:bookmarkEnd w:id="0"/>
    <w:bookmarkEnd w:id="1"/>
    <w:p w14:paraId="5554E5A6" w14:textId="30E7F7C2" w:rsidR="007364C2" w:rsidRPr="00DC64DF" w:rsidRDefault="007364C2" w:rsidP="000556EB">
      <w:pPr>
        <w:widowControl w:val="0"/>
        <w:autoSpaceDE w:val="0"/>
        <w:autoSpaceDN w:val="0"/>
        <w:spacing w:before="209"/>
        <w:ind w:right="166"/>
        <w:rPr>
          <w:rFonts w:ascii="DengXian" w:eastAsia="DengXian" w:hAnsi="DengXian"/>
          <w:szCs w:val="22"/>
        </w:rPr>
      </w:pPr>
      <w:r w:rsidRPr="00DC64DF">
        <w:rPr>
          <w:rFonts w:ascii="DengXian" w:eastAsia="DengXian" w:hAnsi="DengXian"/>
          <w:szCs w:val="22"/>
          <w:lang w:eastAsia="zh-HK"/>
        </w:rPr>
        <w:t>學生們來自不同的背景，擁有不同的需求和抱負。他們可能對進入大學學習感興趣，有明確的職業目標，而這些職業需要進一步的教育和培訓，或者打算在離學後步入職場。因此，西澳大利亞州為11年級和12年級的學生提供廣泛的選擇，這些課程為升入大學、參加培訓和就業提供了多種途徑。</w:t>
      </w:r>
    </w:p>
    <w:p w14:paraId="59E68BF3" w14:textId="0C641E79" w:rsidR="00CB54C3" w:rsidRPr="00DC64DF" w:rsidRDefault="0082019B" w:rsidP="000556EB">
      <w:pPr>
        <w:pStyle w:val="Heading2"/>
        <w:rPr>
          <w:rFonts w:ascii="DengXian" w:eastAsia="DengXian" w:hAnsi="DengXian"/>
        </w:rPr>
      </w:pPr>
      <w:r w:rsidRPr="00DC64DF">
        <w:rPr>
          <w:rFonts w:ascii="DengXian" w:eastAsia="DengXian" w:hAnsi="DengXian"/>
          <w:bCs/>
          <w:lang w:eastAsia="zh-HK"/>
        </w:rPr>
        <w:t>西澳大利亞學生成績單（WASSA）</w:t>
      </w:r>
    </w:p>
    <w:p w14:paraId="2360DF10" w14:textId="64148D5E" w:rsidR="0082019B" w:rsidRPr="00DC64DF" w:rsidRDefault="00CB54C3" w:rsidP="005D1D94">
      <w:pPr>
        <w:pStyle w:val="BodyText"/>
        <w:ind w:right="-2"/>
        <w:rPr>
          <w:rFonts w:ascii="DengXian" w:eastAsia="DengXian" w:hAnsi="DengXian"/>
        </w:rPr>
      </w:pPr>
      <w:r w:rsidRPr="00DC64DF">
        <w:rPr>
          <w:rFonts w:ascii="DengXian" w:eastAsia="DengXian" w:hAnsi="DengXian"/>
          <w:lang w:eastAsia="zh-HK"/>
        </w:rPr>
        <w:t>所有學生在完成12年級後都會收到西澳大利亞學生成績單（WASSA）。WASSA正式記錄學生在高中完成的每一門課程、資格證書和學習計劃的成績。</w:t>
      </w:r>
    </w:p>
    <w:p w14:paraId="734AA23F" w14:textId="17B4860A" w:rsidR="0082019B" w:rsidRPr="00DC64DF" w:rsidRDefault="0082019B" w:rsidP="000556EB">
      <w:pPr>
        <w:pStyle w:val="Heading2"/>
        <w:rPr>
          <w:rFonts w:ascii="DengXian" w:eastAsia="DengXian" w:hAnsi="DengXian"/>
        </w:rPr>
      </w:pPr>
      <w:r w:rsidRPr="00DC64DF">
        <w:rPr>
          <w:rFonts w:ascii="DengXian" w:eastAsia="DengXian" w:hAnsi="DengXian"/>
          <w:bCs/>
          <w:lang w:eastAsia="zh-HK"/>
        </w:rPr>
        <w:t>西澳大利亞州教育證書（WACE）</w:t>
      </w:r>
    </w:p>
    <w:p w14:paraId="7F259973" w14:textId="30A634F7" w:rsidR="0082019B" w:rsidRPr="00DC64DF" w:rsidRDefault="0082019B" w:rsidP="0082019B">
      <w:pPr>
        <w:widowControl w:val="0"/>
        <w:autoSpaceDE w:val="0"/>
        <w:autoSpaceDN w:val="0"/>
        <w:spacing w:before="1"/>
        <w:ind w:right="-2"/>
        <w:rPr>
          <w:rFonts w:ascii="DengXian" w:eastAsia="DengXian" w:hAnsi="DengXian"/>
          <w:spacing w:val="-2"/>
          <w:szCs w:val="22"/>
        </w:rPr>
      </w:pPr>
      <w:r w:rsidRPr="00DC64DF">
        <w:rPr>
          <w:rFonts w:ascii="DengXian" w:eastAsia="DengXian" w:hAnsi="DengXian"/>
          <w:szCs w:val="22"/>
          <w:lang w:eastAsia="zh-HK"/>
        </w:rPr>
        <w:t>西澳大利亞州教育證書（WACE）是在澳大利亞資格證書框架（Australian Qualifications Framework）中於全國範圍內受認可的高中證書。WACE頒發給成功完成2年高中教育並達到規定標準的學生。WACE受到大學、</w:t>
      </w:r>
      <w:r w:rsidRPr="00DC64DF">
        <w:rPr>
          <w:rFonts w:ascii="DengXian" w:eastAsia="DengXian" w:hAnsi="DengXian"/>
          <w:color w:val="FF0000"/>
          <w:szCs w:val="22"/>
          <w:lang w:eastAsia="zh-HK"/>
        </w:rPr>
        <w:t xml:space="preserve"> </w:t>
      </w:r>
      <w:r w:rsidRPr="00DC64DF">
        <w:rPr>
          <w:rFonts w:ascii="DengXian" w:eastAsia="DengXian" w:hAnsi="DengXian"/>
          <w:szCs w:val="22"/>
          <w:lang w:eastAsia="zh-HK"/>
        </w:rPr>
        <w:t>其他高等教育培訓機構和行業的認可。</w:t>
      </w:r>
    </w:p>
    <w:p w14:paraId="0EF80CEA" w14:textId="759E0C2F" w:rsidR="005007C0" w:rsidRPr="00DC64DF" w:rsidRDefault="005007C0" w:rsidP="00A8206D">
      <w:pPr>
        <w:pStyle w:val="BodyText"/>
        <w:ind w:right="-2"/>
        <w:rPr>
          <w:rFonts w:ascii="DengXian" w:eastAsia="DengXian" w:hAnsi="DengXian"/>
        </w:rPr>
      </w:pPr>
    </w:p>
    <w:p w14:paraId="3B908429" w14:textId="52E47AC5" w:rsidR="005C3D20" w:rsidRPr="00DC64DF" w:rsidRDefault="00217461" w:rsidP="00DB16A8">
      <w:pPr>
        <w:tabs>
          <w:tab w:val="left" w:pos="426"/>
        </w:tabs>
        <w:ind w:right="-2"/>
        <w:rPr>
          <w:rFonts w:ascii="DengXian" w:eastAsia="DengXian" w:hAnsi="DengXian"/>
        </w:rPr>
      </w:pPr>
      <w:r w:rsidRPr="00DC64DF">
        <w:rPr>
          <w:rFonts w:ascii="DengXian" w:eastAsia="DengXian" w:hAnsi="DengXian"/>
          <w:lang w:eastAsia="zh-HK"/>
        </w:rPr>
        <w:t>如要獲得WACE，學生必須：</w:t>
      </w:r>
    </w:p>
    <w:p w14:paraId="5F171CAE" w14:textId="5B036F54" w:rsidR="00BF3E72" w:rsidRPr="00DC64DF" w:rsidRDefault="00BF3E72" w:rsidP="00D673EF">
      <w:pPr>
        <w:pStyle w:val="ListParagraph"/>
        <w:widowControl w:val="0"/>
        <w:numPr>
          <w:ilvl w:val="0"/>
          <w:numId w:val="27"/>
        </w:numPr>
        <w:autoSpaceDE w:val="0"/>
        <w:autoSpaceDN w:val="0"/>
        <w:ind w:left="417" w:right="-2"/>
        <w:rPr>
          <w:rFonts w:ascii="DengXian" w:eastAsia="DengXian" w:hAnsi="DengXian"/>
        </w:rPr>
      </w:pPr>
      <w:r w:rsidRPr="00DC64DF">
        <w:rPr>
          <w:rFonts w:ascii="DengXian" w:eastAsia="DengXian" w:hAnsi="DengXian"/>
          <w:lang w:eastAsia="zh-HK"/>
        </w:rPr>
        <w:t>完成至少20個單元，或與之等同，包括：</w:t>
      </w:r>
    </w:p>
    <w:p w14:paraId="7521724B" w14:textId="2D266850" w:rsidR="006E7B53" w:rsidRPr="00DC64DF" w:rsidRDefault="00387E29" w:rsidP="006E7B53">
      <w:pPr>
        <w:pStyle w:val="ListParagraph"/>
        <w:widowControl w:val="0"/>
        <w:numPr>
          <w:ilvl w:val="1"/>
          <w:numId w:val="23"/>
        </w:numPr>
        <w:tabs>
          <w:tab w:val="clear" w:pos="340"/>
          <w:tab w:val="clear" w:pos="680"/>
        </w:tabs>
        <w:autoSpaceDE w:val="0"/>
        <w:autoSpaceDN w:val="0"/>
        <w:ind w:right="-2"/>
        <w:rPr>
          <w:rFonts w:ascii="DengXian" w:eastAsia="DengXian" w:hAnsi="DengXian"/>
        </w:rPr>
      </w:pPr>
      <w:r w:rsidRPr="00DC64DF">
        <w:rPr>
          <w:rFonts w:ascii="DengXian" w:eastAsia="DengXian" w:hAnsi="DengXian"/>
          <w:lang w:eastAsia="zh-HK"/>
        </w:rPr>
        <w:t>10個12年級的單元，或與之等同</w:t>
      </w:r>
    </w:p>
    <w:p w14:paraId="11B4C6FB" w14:textId="66E3E8E8" w:rsidR="006F4DF6" w:rsidRPr="00DC64DF" w:rsidRDefault="00B70E85" w:rsidP="006E7B53">
      <w:pPr>
        <w:pStyle w:val="ListParagraph"/>
        <w:widowControl w:val="0"/>
        <w:numPr>
          <w:ilvl w:val="1"/>
          <w:numId w:val="23"/>
        </w:numPr>
        <w:tabs>
          <w:tab w:val="clear" w:pos="340"/>
          <w:tab w:val="clear" w:pos="680"/>
        </w:tabs>
        <w:autoSpaceDE w:val="0"/>
        <w:autoSpaceDN w:val="0"/>
        <w:ind w:right="-2"/>
        <w:rPr>
          <w:rFonts w:ascii="DengXian" w:eastAsia="DengXian" w:hAnsi="DengXian"/>
        </w:rPr>
      </w:pPr>
      <w:r w:rsidRPr="00DC64DF">
        <w:rPr>
          <w:rFonts w:ascii="DengXian" w:eastAsia="DengXian" w:hAnsi="DengXian"/>
          <w:lang w:eastAsia="zh-HK"/>
        </w:rPr>
        <w:t>英語學習範疇的4個單元</w:t>
      </w:r>
    </w:p>
    <w:p w14:paraId="2F0815B7" w14:textId="77777777" w:rsidR="00207B81" w:rsidRPr="00DC64DF" w:rsidRDefault="00B70E85" w:rsidP="006E7B53">
      <w:pPr>
        <w:pStyle w:val="ListParagraph"/>
        <w:widowControl w:val="0"/>
        <w:numPr>
          <w:ilvl w:val="1"/>
          <w:numId w:val="23"/>
        </w:numPr>
        <w:tabs>
          <w:tab w:val="clear" w:pos="340"/>
          <w:tab w:val="clear" w:pos="680"/>
        </w:tabs>
        <w:autoSpaceDE w:val="0"/>
        <w:autoSpaceDN w:val="0"/>
        <w:ind w:right="-2"/>
        <w:rPr>
          <w:rFonts w:ascii="DengXian" w:eastAsia="DengXian" w:hAnsi="DengXian"/>
        </w:rPr>
      </w:pPr>
      <w:r w:rsidRPr="00DC64DF">
        <w:rPr>
          <w:rFonts w:ascii="DengXian" w:eastAsia="DengXian" w:hAnsi="DengXian"/>
          <w:lang w:eastAsia="zh-HK"/>
        </w:rPr>
        <w:t>從列表A（藝術/語言/社會科學）</w:t>
      </w:r>
    </w:p>
    <w:p w14:paraId="127367FF" w14:textId="31308FC4" w:rsidR="00B6232D" w:rsidRPr="00DC64DF" w:rsidRDefault="001F6F03" w:rsidP="00207B81">
      <w:pPr>
        <w:pStyle w:val="ListParagraph"/>
        <w:widowControl w:val="0"/>
        <w:tabs>
          <w:tab w:val="clear" w:pos="340"/>
          <w:tab w:val="clear" w:pos="680"/>
        </w:tabs>
        <w:autoSpaceDE w:val="0"/>
        <w:autoSpaceDN w:val="0"/>
        <w:ind w:left="1440" w:right="-2" w:firstLine="0"/>
        <w:rPr>
          <w:rFonts w:ascii="DengXian" w:eastAsia="DengXian" w:hAnsi="DengXian"/>
        </w:rPr>
      </w:pPr>
      <w:r w:rsidRPr="00DC64DF">
        <w:rPr>
          <w:rFonts w:ascii="DengXian" w:eastAsia="DengXian" w:hAnsi="DengXian"/>
          <w:lang w:eastAsia="zh-HK"/>
        </w:rPr>
        <w:t>和列表B（數學/科學/技術）中各選擇一個組成一對12年級課程。</w:t>
      </w:r>
    </w:p>
    <w:p w14:paraId="0A106E3A" w14:textId="77777777" w:rsidR="0010061D" w:rsidRPr="00DC64DF" w:rsidRDefault="0090756A" w:rsidP="0010061D">
      <w:pPr>
        <w:pStyle w:val="ListParagraph"/>
        <w:widowControl w:val="0"/>
        <w:numPr>
          <w:ilvl w:val="0"/>
          <w:numId w:val="23"/>
        </w:numPr>
        <w:autoSpaceDE w:val="0"/>
        <w:autoSpaceDN w:val="0"/>
        <w:ind w:left="417" w:right="-2"/>
        <w:rPr>
          <w:rFonts w:ascii="DengXian" w:eastAsia="DengXian" w:hAnsi="DengXian"/>
        </w:rPr>
      </w:pPr>
      <w:r w:rsidRPr="00DC64DF">
        <w:rPr>
          <w:rFonts w:ascii="DengXian" w:eastAsia="DengXian" w:hAnsi="DengXian"/>
          <w:szCs w:val="22"/>
          <w:lang w:eastAsia="zh-HK"/>
        </w:rPr>
        <w:t>在11年級和12年級至少獲得14個C等級或更高的成績，包括在12年級至少獲得至少6個C等級成績</w:t>
      </w:r>
    </w:p>
    <w:p w14:paraId="7D696CE6" w14:textId="77777777" w:rsidR="00C36699" w:rsidRPr="00DC64DF" w:rsidRDefault="0090756A" w:rsidP="00C36699">
      <w:pPr>
        <w:pStyle w:val="ListParagraph"/>
        <w:widowControl w:val="0"/>
        <w:autoSpaceDE w:val="0"/>
        <w:autoSpaceDN w:val="0"/>
        <w:ind w:left="417" w:right="-2" w:firstLine="0"/>
        <w:rPr>
          <w:rFonts w:ascii="DengXian" w:eastAsia="DengXian" w:hAnsi="DengXian"/>
          <w:szCs w:val="22"/>
        </w:rPr>
      </w:pPr>
      <w:r w:rsidRPr="00DC64DF">
        <w:rPr>
          <w:rFonts w:ascii="DengXian" w:eastAsia="DengXian" w:hAnsi="DengXian"/>
          <w:szCs w:val="22"/>
          <w:lang w:eastAsia="zh-HK"/>
        </w:rPr>
        <w:t>（或同等成績）。</w:t>
      </w:r>
    </w:p>
    <w:p w14:paraId="6E200538" w14:textId="1A2A5E30" w:rsidR="008E3899" w:rsidRPr="00DC64DF" w:rsidRDefault="00C36699" w:rsidP="00C36699">
      <w:pPr>
        <w:pStyle w:val="ListParagraph"/>
        <w:widowControl w:val="0"/>
        <w:numPr>
          <w:ilvl w:val="0"/>
          <w:numId w:val="23"/>
        </w:numPr>
        <w:autoSpaceDE w:val="0"/>
        <w:autoSpaceDN w:val="0"/>
        <w:ind w:left="417" w:right="-2"/>
        <w:rPr>
          <w:rFonts w:ascii="DengXian" w:eastAsia="DengXian" w:hAnsi="DengXian"/>
          <w:szCs w:val="22"/>
        </w:rPr>
      </w:pPr>
      <w:r w:rsidRPr="00DC64DF">
        <w:rPr>
          <w:rFonts w:ascii="DengXian" w:eastAsia="DengXian" w:hAnsi="DengXian"/>
          <w:lang w:eastAsia="zh-HK"/>
        </w:rPr>
        <w:t xml:space="preserve">完成： </w:t>
      </w:r>
    </w:p>
    <w:p w14:paraId="144BBE9D" w14:textId="60B44B4E" w:rsidR="008E3899" w:rsidRPr="00DC64DF" w:rsidRDefault="00C36699" w:rsidP="008E3899">
      <w:pPr>
        <w:pStyle w:val="ListParagraph"/>
        <w:widowControl w:val="0"/>
        <w:numPr>
          <w:ilvl w:val="1"/>
          <w:numId w:val="23"/>
        </w:numPr>
        <w:autoSpaceDE w:val="0"/>
        <w:autoSpaceDN w:val="0"/>
        <w:ind w:right="-2"/>
        <w:rPr>
          <w:rFonts w:ascii="DengXian" w:eastAsia="DengXian" w:hAnsi="DengXian"/>
          <w:szCs w:val="22"/>
        </w:rPr>
      </w:pPr>
      <w:r w:rsidRPr="00DC64DF">
        <w:rPr>
          <w:rFonts w:ascii="DengXian" w:eastAsia="DengXian" w:hAnsi="DengXian"/>
          <w:lang w:eastAsia="zh-HK"/>
        </w:rPr>
        <w:t>至少四門12年級ATAR課程，或者</w:t>
      </w:r>
    </w:p>
    <w:p w14:paraId="5C7AE731" w14:textId="77777777" w:rsidR="008E3899" w:rsidRPr="00DC64DF" w:rsidRDefault="00C36699" w:rsidP="008E3899">
      <w:pPr>
        <w:pStyle w:val="ListParagraph"/>
        <w:widowControl w:val="0"/>
        <w:numPr>
          <w:ilvl w:val="1"/>
          <w:numId w:val="23"/>
        </w:numPr>
        <w:autoSpaceDE w:val="0"/>
        <w:autoSpaceDN w:val="0"/>
        <w:ind w:right="-2"/>
        <w:rPr>
          <w:rFonts w:ascii="DengXian" w:eastAsia="DengXian" w:hAnsi="DengXian"/>
          <w:szCs w:val="22"/>
        </w:rPr>
      </w:pPr>
      <w:r w:rsidRPr="00DC64DF">
        <w:rPr>
          <w:rFonts w:ascii="DengXian" w:eastAsia="DengXian" w:hAnsi="DengXian"/>
          <w:lang w:eastAsia="zh-HK"/>
        </w:rPr>
        <w:t>至少5門12年級普通課程（或普通課程與最多3門12年級ATAR課程的組合）或同等課程，或者</w:t>
      </w:r>
    </w:p>
    <w:p w14:paraId="111D2DE1" w14:textId="2F4597BE" w:rsidR="00A17606" w:rsidRPr="00DC64DF" w:rsidRDefault="00C36699" w:rsidP="00FA1942">
      <w:pPr>
        <w:pStyle w:val="ListParagraph"/>
        <w:widowControl w:val="0"/>
        <w:numPr>
          <w:ilvl w:val="1"/>
          <w:numId w:val="23"/>
        </w:numPr>
        <w:autoSpaceDE w:val="0"/>
        <w:autoSpaceDN w:val="0"/>
        <w:ind w:right="-2"/>
        <w:rPr>
          <w:rFonts w:ascii="DengXian" w:eastAsia="DengXian" w:hAnsi="DengXian"/>
        </w:rPr>
      </w:pPr>
      <w:r w:rsidRPr="00DC64DF">
        <w:rPr>
          <w:rFonts w:ascii="DengXian" w:eastAsia="DengXian" w:hAnsi="DengXian"/>
          <w:lang w:eastAsia="zh-HK"/>
        </w:rPr>
        <w:t xml:space="preserve"> 結合ATAR、普通或基礎課程的二級（或更高級）職業教育與培訓（VET）資格證書。 </w:t>
      </w:r>
    </w:p>
    <w:p w14:paraId="1F411B36" w14:textId="57880EE5" w:rsidR="00110B42" w:rsidRPr="00DC64DF" w:rsidRDefault="00120C42" w:rsidP="00E60C56">
      <w:pPr>
        <w:pStyle w:val="ListParagraph"/>
        <w:widowControl w:val="0"/>
        <w:numPr>
          <w:ilvl w:val="0"/>
          <w:numId w:val="23"/>
        </w:numPr>
        <w:tabs>
          <w:tab w:val="clear" w:pos="340"/>
          <w:tab w:val="clear" w:pos="680"/>
        </w:tabs>
        <w:autoSpaceDE w:val="0"/>
        <w:autoSpaceDN w:val="0"/>
        <w:ind w:left="392" w:right="-2"/>
        <w:rPr>
          <w:rFonts w:ascii="DengXian" w:eastAsia="DengXian" w:hAnsi="DengXian"/>
        </w:rPr>
      </w:pPr>
      <w:r w:rsidRPr="00DC64DF">
        <w:rPr>
          <w:rFonts w:ascii="DengXian" w:eastAsia="DengXian" w:hAnsi="DengXian"/>
          <w:lang w:eastAsia="zh-HK"/>
        </w:rPr>
        <w:t>滿足最低識字和算術標準。</w:t>
      </w:r>
    </w:p>
    <w:p w14:paraId="5D2332AF" w14:textId="3B7C0B66" w:rsidR="002E0754" w:rsidRPr="00DC64DF" w:rsidRDefault="002E0754" w:rsidP="00120C42">
      <w:pPr>
        <w:pStyle w:val="ListParagraph"/>
        <w:widowControl w:val="0"/>
        <w:tabs>
          <w:tab w:val="clear" w:pos="340"/>
          <w:tab w:val="clear" w:pos="680"/>
        </w:tabs>
        <w:autoSpaceDE w:val="0"/>
        <w:autoSpaceDN w:val="0"/>
        <w:ind w:left="392" w:right="-2" w:firstLine="0"/>
        <w:rPr>
          <w:rFonts w:ascii="DengXian" w:eastAsia="DengXian" w:hAnsi="DengXian"/>
          <w:szCs w:val="22"/>
        </w:rPr>
      </w:pPr>
    </w:p>
    <w:p w14:paraId="6310B712" w14:textId="4DF568BF" w:rsidR="002E0754" w:rsidRPr="00DC64DF" w:rsidRDefault="002E0754" w:rsidP="00B11CCB">
      <w:pPr>
        <w:pStyle w:val="Heading1"/>
        <w:spacing w:after="0"/>
        <w:rPr>
          <w:rStyle w:val="Heading2Char"/>
          <w:rFonts w:ascii="DengXian" w:eastAsia="DengXian" w:hAnsi="DengXian"/>
          <w:b/>
          <w:sz w:val="32"/>
          <w:szCs w:val="32"/>
        </w:rPr>
      </w:pPr>
      <w:r w:rsidRPr="00DC64DF">
        <w:rPr>
          <w:rStyle w:val="Heading2Char"/>
          <w:rFonts w:ascii="DengXian" w:eastAsia="DengXian" w:hAnsi="DengXian"/>
          <w:b/>
          <w:bCs/>
          <w:sz w:val="32"/>
          <w:szCs w:val="32"/>
          <w:lang w:eastAsia="zh-HK"/>
        </w:rPr>
        <w:t>瞭解11年級和12年級課程</w:t>
      </w:r>
    </w:p>
    <w:p w14:paraId="0F167E75" w14:textId="77777777" w:rsidR="00A6602E" w:rsidRPr="00DC64DF" w:rsidRDefault="00A6602E" w:rsidP="00A6602E">
      <w:pPr>
        <w:widowControl w:val="0"/>
        <w:autoSpaceDE w:val="0"/>
        <w:autoSpaceDN w:val="0"/>
        <w:rPr>
          <w:rFonts w:ascii="DengXian" w:eastAsia="DengXian" w:hAnsi="DengXian"/>
          <w:b/>
          <w:color w:val="592C82"/>
          <w:sz w:val="26"/>
          <w:szCs w:val="22"/>
        </w:rPr>
      </w:pPr>
      <w:r w:rsidRPr="00DC64DF">
        <w:rPr>
          <w:rFonts w:ascii="DengXian" w:eastAsia="DengXian" w:hAnsi="DengXian"/>
          <w:szCs w:val="22"/>
          <w:lang w:eastAsia="zh-HK"/>
        </w:rPr>
        <w:t>在11年級和12年級，學生可以從多種課程和項目類型中選擇，包括ATAR課程、普通課程、基礎課程、預備課程、認可項目和VET資格證書，這些都可以通向獲取WACE證書。</w:t>
      </w:r>
    </w:p>
    <w:p w14:paraId="03E8F302" w14:textId="77777777" w:rsidR="006C1619" w:rsidRPr="00DC64DF" w:rsidRDefault="006C1619" w:rsidP="00EF6D86">
      <w:pPr>
        <w:widowControl w:val="0"/>
        <w:autoSpaceDE w:val="0"/>
        <w:autoSpaceDN w:val="0"/>
        <w:spacing w:before="1"/>
        <w:rPr>
          <w:rStyle w:val="Heading2Char"/>
          <w:rFonts w:ascii="DengXian" w:eastAsia="DengXian" w:hAnsi="DengXian"/>
        </w:rPr>
      </w:pPr>
    </w:p>
    <w:p w14:paraId="1DA6D472" w14:textId="77777777" w:rsidR="000D6534" w:rsidRPr="00DC64DF" w:rsidRDefault="000D6534" w:rsidP="00EF6D86">
      <w:pPr>
        <w:widowControl w:val="0"/>
        <w:autoSpaceDE w:val="0"/>
        <w:autoSpaceDN w:val="0"/>
        <w:spacing w:before="1"/>
        <w:rPr>
          <w:rStyle w:val="Heading2Char"/>
          <w:rFonts w:ascii="DengXian" w:eastAsia="DengXian" w:hAnsi="DengXian"/>
        </w:rPr>
      </w:pPr>
    </w:p>
    <w:p w14:paraId="0F5EAF70" w14:textId="19B05B2F" w:rsidR="00EF6D86" w:rsidRPr="00DC64DF" w:rsidRDefault="00EF6D86" w:rsidP="00EF6D86">
      <w:pPr>
        <w:widowControl w:val="0"/>
        <w:autoSpaceDE w:val="0"/>
        <w:autoSpaceDN w:val="0"/>
        <w:spacing w:before="1"/>
        <w:rPr>
          <w:rFonts w:ascii="DengXian" w:eastAsia="DengXian" w:hAnsi="DengXian"/>
          <w:b/>
          <w:bCs/>
        </w:rPr>
      </w:pPr>
      <w:r w:rsidRPr="00DC64DF">
        <w:rPr>
          <w:rStyle w:val="Heading2Char"/>
          <w:rFonts w:ascii="DengXian" w:eastAsia="DengXian" w:hAnsi="DengXian"/>
          <w:bCs/>
          <w:lang w:eastAsia="zh-HK"/>
        </w:rPr>
        <w:lastRenderedPageBreak/>
        <w:t>ATAR</w:t>
      </w:r>
      <w:r w:rsidRPr="00DC64DF">
        <w:rPr>
          <w:rFonts w:ascii="DengXian" w:eastAsia="DengXian" w:hAnsi="DengXian"/>
          <w:lang w:eastAsia="zh-HK"/>
        </w:rPr>
        <w:t xml:space="preserve"> </w:t>
      </w:r>
    </w:p>
    <w:p w14:paraId="3E7D08F2" w14:textId="77777777" w:rsidR="00EF6D86" w:rsidRPr="00DC64DF" w:rsidRDefault="00EF6D86" w:rsidP="00EF6D86">
      <w:pPr>
        <w:widowControl w:val="0"/>
        <w:autoSpaceDE w:val="0"/>
        <w:autoSpaceDN w:val="0"/>
        <w:spacing w:before="1"/>
        <w:rPr>
          <w:rFonts w:ascii="DengXian" w:eastAsia="DengXian" w:hAnsi="DengXian"/>
          <w:b/>
          <w:bCs/>
        </w:rPr>
      </w:pPr>
      <w:r w:rsidRPr="00DC64DF">
        <w:rPr>
          <w:rFonts w:ascii="DengXian" w:eastAsia="DengXian" w:hAnsi="DengXian"/>
          <w:b/>
          <w:bCs/>
          <w:lang w:eastAsia="zh-HK"/>
        </w:rPr>
        <w:t>ATAR（澳大利亞高等教育入學排名）課程：</w:t>
      </w:r>
    </w:p>
    <w:p w14:paraId="5DCCFAAA" w14:textId="77777777" w:rsidR="00EF6D86" w:rsidRPr="00DC64DF" w:rsidRDefault="00EF6D86" w:rsidP="00EF6D86">
      <w:pPr>
        <w:pStyle w:val="ListParagraph"/>
        <w:widowControl w:val="0"/>
        <w:numPr>
          <w:ilvl w:val="0"/>
          <w:numId w:val="24"/>
        </w:numPr>
        <w:tabs>
          <w:tab w:val="clear" w:pos="340"/>
          <w:tab w:val="clear" w:pos="680"/>
        </w:tabs>
        <w:autoSpaceDE w:val="0"/>
        <w:autoSpaceDN w:val="0"/>
        <w:spacing w:before="1"/>
        <w:ind w:left="426" w:hanging="384"/>
        <w:rPr>
          <w:rFonts w:ascii="DengXian" w:eastAsia="DengXian" w:hAnsi="DengXian"/>
        </w:rPr>
      </w:pPr>
      <w:r w:rsidRPr="00DC64DF">
        <w:rPr>
          <w:rFonts w:ascii="DengXian" w:eastAsia="DengXian" w:hAnsi="DengXian"/>
          <w:lang w:eastAsia="zh-HK"/>
        </w:rPr>
        <w:t>專為計劃升入大學的學生設計，因此他們在12年級結束時需要進行一次外部統一考試。</w:t>
      </w:r>
    </w:p>
    <w:p w14:paraId="1BB921EE" w14:textId="77777777" w:rsidR="00EF6D86" w:rsidRPr="00DC64DF" w:rsidRDefault="00EF6D86" w:rsidP="00EF6D86">
      <w:pPr>
        <w:widowControl w:val="0"/>
        <w:autoSpaceDE w:val="0"/>
        <w:autoSpaceDN w:val="0"/>
        <w:spacing w:before="1"/>
        <w:rPr>
          <w:rFonts w:ascii="DengXian" w:eastAsia="DengXian" w:hAnsi="DengXian"/>
        </w:rPr>
      </w:pPr>
    </w:p>
    <w:p w14:paraId="28575698" w14:textId="77777777" w:rsidR="00EF6D86" w:rsidRPr="00DC64DF" w:rsidRDefault="00EF6D86" w:rsidP="00EF6D86">
      <w:pPr>
        <w:widowControl w:val="0"/>
        <w:autoSpaceDE w:val="0"/>
        <w:autoSpaceDN w:val="0"/>
        <w:spacing w:before="1"/>
        <w:rPr>
          <w:rFonts w:ascii="DengXian" w:eastAsia="DengXian" w:hAnsi="DengXian"/>
          <w:b/>
          <w:bCs/>
        </w:rPr>
      </w:pPr>
      <w:r w:rsidRPr="00DC64DF">
        <w:rPr>
          <w:rStyle w:val="Heading2Char"/>
          <w:rFonts w:ascii="DengXian" w:eastAsia="DengXian" w:hAnsi="DengXian"/>
          <w:bCs/>
          <w:lang w:eastAsia="zh-HK"/>
        </w:rPr>
        <w:t>普通課程</w:t>
      </w:r>
      <w:r w:rsidRPr="00DC64DF">
        <w:rPr>
          <w:rFonts w:ascii="DengXian" w:eastAsia="DengXian" w:hAnsi="DengXian"/>
          <w:lang w:eastAsia="zh-HK"/>
        </w:rPr>
        <w:t xml:space="preserve"> </w:t>
      </w:r>
    </w:p>
    <w:p w14:paraId="39A1C25C" w14:textId="77777777" w:rsidR="00EF6D86" w:rsidRPr="00DC64DF" w:rsidRDefault="00EF6D86" w:rsidP="00EF6D86">
      <w:pPr>
        <w:widowControl w:val="0"/>
        <w:autoSpaceDE w:val="0"/>
        <w:autoSpaceDN w:val="0"/>
        <w:spacing w:before="1"/>
        <w:rPr>
          <w:rFonts w:ascii="DengXian" w:eastAsia="DengXian" w:hAnsi="DengXian"/>
          <w:b/>
          <w:bCs/>
        </w:rPr>
      </w:pPr>
      <w:r w:rsidRPr="00DC64DF">
        <w:rPr>
          <w:rFonts w:ascii="DengXian" w:eastAsia="DengXian" w:hAnsi="DengXian"/>
          <w:b/>
          <w:bCs/>
          <w:lang w:eastAsia="zh-HK"/>
        </w:rPr>
        <w:t>普通課程：</w:t>
      </w:r>
    </w:p>
    <w:p w14:paraId="0DAA25A8" w14:textId="77777777" w:rsidR="00EF6D86" w:rsidRPr="00DC64DF" w:rsidRDefault="00EF6D86" w:rsidP="00EF6D86">
      <w:pPr>
        <w:pStyle w:val="ListParagraph"/>
        <w:numPr>
          <w:ilvl w:val="0"/>
          <w:numId w:val="24"/>
        </w:numPr>
        <w:tabs>
          <w:tab w:val="clear" w:pos="340"/>
          <w:tab w:val="clear" w:pos="680"/>
        </w:tabs>
        <w:ind w:left="426" w:hanging="384"/>
        <w:rPr>
          <w:rFonts w:ascii="DengXian" w:eastAsia="DengXian" w:hAnsi="DengXian"/>
        </w:rPr>
      </w:pPr>
      <w:r w:rsidRPr="00DC64DF">
        <w:rPr>
          <w:rFonts w:ascii="DengXian" w:eastAsia="DengXian" w:hAnsi="DengXian"/>
          <w:lang w:eastAsia="zh-HK"/>
        </w:rPr>
        <w:t>專為通常希望在離校後進入後續職業培訓或步入職場的學生設計。學生可能能够將一些普通課程作為升入某些大學課程替代途徑的一部分。</w:t>
      </w:r>
    </w:p>
    <w:p w14:paraId="53735687" w14:textId="77777777" w:rsidR="00EF6D86" w:rsidRPr="00DC64DF" w:rsidRDefault="00EF6D86" w:rsidP="00EF6D86">
      <w:pPr>
        <w:pStyle w:val="ListParagraph"/>
        <w:numPr>
          <w:ilvl w:val="0"/>
          <w:numId w:val="24"/>
        </w:numPr>
        <w:tabs>
          <w:tab w:val="clear" w:pos="340"/>
          <w:tab w:val="clear" w:pos="680"/>
        </w:tabs>
        <w:ind w:left="426" w:hanging="384"/>
        <w:rPr>
          <w:rFonts w:ascii="DengXian" w:eastAsia="DengXian" w:hAnsi="DengXian"/>
        </w:rPr>
      </w:pPr>
      <w:r w:rsidRPr="00DC64DF">
        <w:rPr>
          <w:rFonts w:ascii="DengXian" w:eastAsia="DengXian" w:hAnsi="DengXian"/>
          <w:lang w:eastAsia="zh-HK"/>
        </w:rPr>
        <w:t xml:space="preserve">無考試；然而，在12年級，學生需要參加一項占比15%的評估，稱為外部設定任務（ESTs），以確保全州範圍內教師評分的公平性。 </w:t>
      </w:r>
    </w:p>
    <w:p w14:paraId="0ACB513D" w14:textId="77777777" w:rsidR="00EF6D86" w:rsidRPr="00DC64DF" w:rsidRDefault="00EF6D86" w:rsidP="00EF6D86">
      <w:pPr>
        <w:widowControl w:val="0"/>
        <w:autoSpaceDE w:val="0"/>
        <w:autoSpaceDN w:val="0"/>
        <w:spacing w:before="1"/>
        <w:rPr>
          <w:rFonts w:ascii="DengXian" w:eastAsia="DengXian" w:hAnsi="DengXian"/>
        </w:rPr>
      </w:pPr>
    </w:p>
    <w:p w14:paraId="34F83C9F" w14:textId="77777777" w:rsidR="00EF6D86" w:rsidRPr="00DC64DF" w:rsidRDefault="00EF6D86" w:rsidP="00EF6D86">
      <w:pPr>
        <w:widowControl w:val="0"/>
        <w:autoSpaceDE w:val="0"/>
        <w:autoSpaceDN w:val="0"/>
        <w:spacing w:before="1"/>
        <w:rPr>
          <w:rFonts w:ascii="DengXian" w:eastAsia="DengXian" w:hAnsi="DengXian"/>
          <w:b/>
          <w:bCs/>
        </w:rPr>
      </w:pPr>
      <w:r w:rsidRPr="00DC64DF">
        <w:rPr>
          <w:rStyle w:val="Heading2Char"/>
          <w:rFonts w:ascii="DengXian" w:eastAsia="DengXian" w:hAnsi="DengXian"/>
          <w:bCs/>
          <w:lang w:eastAsia="zh-HK"/>
        </w:rPr>
        <w:t>基礎課程</w:t>
      </w:r>
      <w:r w:rsidRPr="00DC64DF">
        <w:rPr>
          <w:rFonts w:ascii="DengXian" w:eastAsia="DengXian" w:hAnsi="DengXian"/>
          <w:lang w:eastAsia="zh-HK"/>
        </w:rPr>
        <w:t xml:space="preserve"> </w:t>
      </w:r>
    </w:p>
    <w:p w14:paraId="323A60BA" w14:textId="77777777" w:rsidR="00EF6D86" w:rsidRPr="00DC64DF" w:rsidRDefault="00EF6D86" w:rsidP="00EF6D86">
      <w:pPr>
        <w:widowControl w:val="0"/>
        <w:autoSpaceDE w:val="0"/>
        <w:autoSpaceDN w:val="0"/>
        <w:spacing w:before="1"/>
        <w:rPr>
          <w:rFonts w:ascii="DengXian" w:eastAsia="DengXian" w:hAnsi="DengXian"/>
          <w:b/>
          <w:bCs/>
        </w:rPr>
      </w:pPr>
      <w:r w:rsidRPr="00DC64DF">
        <w:rPr>
          <w:rFonts w:ascii="DengXian" w:eastAsia="DengXian" w:hAnsi="DengXian"/>
          <w:b/>
          <w:bCs/>
          <w:lang w:eastAsia="zh-HK"/>
        </w:rPr>
        <w:t>基礎課程：</w:t>
      </w:r>
    </w:p>
    <w:p w14:paraId="049D858F" w14:textId="77777777" w:rsidR="00EF6D86" w:rsidRPr="00DC64DF" w:rsidRDefault="00EF6D86" w:rsidP="00EF6D86">
      <w:pPr>
        <w:pStyle w:val="ListParagraph"/>
        <w:numPr>
          <w:ilvl w:val="0"/>
          <w:numId w:val="24"/>
        </w:numPr>
        <w:tabs>
          <w:tab w:val="clear" w:pos="340"/>
          <w:tab w:val="clear" w:pos="680"/>
        </w:tabs>
        <w:ind w:left="426" w:hanging="384"/>
        <w:rPr>
          <w:rFonts w:ascii="DengXian" w:eastAsia="DengXian" w:hAnsi="DengXian"/>
        </w:rPr>
      </w:pPr>
      <w:r w:rsidRPr="00DC64DF">
        <w:rPr>
          <w:rFonts w:ascii="DengXian" w:eastAsia="DengXian" w:hAnsi="DengXian"/>
          <w:lang w:eastAsia="zh-HK"/>
        </w:rPr>
        <w:t>專為在11年級之前未達到最低識字和/或算術標準的學生設計，他們可能需要在12年級結束前獲得大量支持以達到該標準。</w:t>
      </w:r>
    </w:p>
    <w:p w14:paraId="2A196517" w14:textId="7DB465B0" w:rsidR="00EF6D86" w:rsidRPr="00DC64DF" w:rsidRDefault="00EF6D86" w:rsidP="00EF6D86">
      <w:pPr>
        <w:pStyle w:val="ListParagraph"/>
        <w:numPr>
          <w:ilvl w:val="0"/>
          <w:numId w:val="24"/>
        </w:numPr>
        <w:tabs>
          <w:tab w:val="clear" w:pos="340"/>
          <w:tab w:val="clear" w:pos="680"/>
        </w:tabs>
        <w:ind w:left="426" w:hanging="384"/>
        <w:rPr>
          <w:rFonts w:ascii="DengXian" w:eastAsia="DengXian" w:hAnsi="DengXian"/>
        </w:rPr>
      </w:pPr>
      <w:r w:rsidRPr="00DC64DF">
        <w:rPr>
          <w:rFonts w:ascii="DengXian" w:eastAsia="DengXian" w:hAnsi="DengXian"/>
          <w:lang w:eastAsia="zh-HK"/>
        </w:rPr>
        <w:t xml:space="preserve">無考試；然而，在12年級，學生需要參加一項評估，稱為外部設定任務（ESTs），以確保全州範圍內教師評分的公平性。 </w:t>
      </w:r>
    </w:p>
    <w:p w14:paraId="2B47E84B" w14:textId="77777777" w:rsidR="00EF6D86" w:rsidRPr="00DC64DF" w:rsidRDefault="00EF6D86" w:rsidP="00EF6D86">
      <w:pPr>
        <w:widowControl w:val="0"/>
        <w:autoSpaceDE w:val="0"/>
        <w:autoSpaceDN w:val="0"/>
        <w:spacing w:before="1"/>
        <w:rPr>
          <w:rFonts w:ascii="DengXian" w:eastAsia="DengXian" w:hAnsi="DengXian"/>
        </w:rPr>
      </w:pPr>
    </w:p>
    <w:p w14:paraId="00A73CEC" w14:textId="77777777" w:rsidR="00EF6D86" w:rsidRPr="00DC64DF" w:rsidRDefault="00EF6D86" w:rsidP="00EF6D86">
      <w:pPr>
        <w:widowControl w:val="0"/>
        <w:autoSpaceDE w:val="0"/>
        <w:autoSpaceDN w:val="0"/>
        <w:spacing w:before="1"/>
        <w:rPr>
          <w:rFonts w:ascii="DengXian" w:eastAsia="DengXian" w:hAnsi="DengXian"/>
          <w:b/>
          <w:bCs/>
        </w:rPr>
      </w:pPr>
      <w:r w:rsidRPr="00DC64DF">
        <w:rPr>
          <w:rStyle w:val="Heading2Char"/>
          <w:rFonts w:ascii="DengXian" w:eastAsia="DengXian" w:hAnsi="DengXian"/>
          <w:bCs/>
          <w:lang w:eastAsia="zh-HK"/>
        </w:rPr>
        <w:t>預備課程</w:t>
      </w:r>
      <w:r w:rsidRPr="00DC64DF">
        <w:rPr>
          <w:rFonts w:ascii="DengXian" w:eastAsia="DengXian" w:hAnsi="DengXian"/>
          <w:lang w:eastAsia="zh-HK"/>
        </w:rPr>
        <w:t xml:space="preserve"> </w:t>
      </w:r>
    </w:p>
    <w:p w14:paraId="2AD8DBA3" w14:textId="77777777" w:rsidR="00EF6D86" w:rsidRPr="00DC64DF" w:rsidRDefault="00EF6D86" w:rsidP="00EF6D86">
      <w:pPr>
        <w:widowControl w:val="0"/>
        <w:autoSpaceDE w:val="0"/>
        <w:autoSpaceDN w:val="0"/>
        <w:spacing w:before="1"/>
        <w:rPr>
          <w:rFonts w:ascii="DengXian" w:eastAsia="DengXian" w:hAnsi="DengXian"/>
          <w:b/>
          <w:bCs/>
        </w:rPr>
      </w:pPr>
      <w:r w:rsidRPr="00DC64DF">
        <w:rPr>
          <w:rFonts w:ascii="DengXian" w:eastAsia="DengXian" w:hAnsi="DengXian"/>
          <w:b/>
          <w:bCs/>
          <w:lang w:eastAsia="zh-HK"/>
        </w:rPr>
        <w:t>預備課程：</w:t>
      </w:r>
    </w:p>
    <w:p w14:paraId="62F57960" w14:textId="15B17B95" w:rsidR="00980AF8" w:rsidRPr="00DC64DF" w:rsidRDefault="00EF6D86" w:rsidP="00EF6D86">
      <w:pPr>
        <w:pStyle w:val="ListParagraph"/>
        <w:numPr>
          <w:ilvl w:val="0"/>
          <w:numId w:val="24"/>
        </w:numPr>
        <w:tabs>
          <w:tab w:val="clear" w:pos="340"/>
          <w:tab w:val="clear" w:pos="680"/>
        </w:tabs>
        <w:ind w:left="426" w:hanging="384"/>
        <w:rPr>
          <w:rFonts w:ascii="DengXian" w:eastAsia="DengXian" w:hAnsi="DengXian"/>
        </w:rPr>
      </w:pPr>
      <w:r w:rsidRPr="00DC64DF">
        <w:rPr>
          <w:rFonts w:ascii="DengXian" w:eastAsia="DengXian" w:hAnsi="DengXian"/>
          <w:lang w:eastAsia="zh-HK"/>
        </w:rPr>
        <w:t>專為被認定為存在學習困難和/或智力障礙、無法直接從學校進入培訓的學生而設計，並且：</w:t>
      </w:r>
    </w:p>
    <w:p w14:paraId="31346582" w14:textId="77777777" w:rsidR="00EF6D86" w:rsidRPr="00DC64DF" w:rsidRDefault="00EF6D86" w:rsidP="00EF6D86">
      <w:pPr>
        <w:numPr>
          <w:ilvl w:val="0"/>
          <w:numId w:val="25"/>
        </w:numPr>
        <w:rPr>
          <w:rFonts w:ascii="DengXian" w:eastAsia="DengXian" w:hAnsi="DengXian"/>
        </w:rPr>
      </w:pPr>
      <w:r w:rsidRPr="00DC64DF">
        <w:rPr>
          <w:rFonts w:ascii="DengXian" w:eastAsia="DengXian" w:hAnsi="DengXian"/>
          <w:lang w:eastAsia="zh-HK"/>
        </w:rPr>
        <w:t>無法選擇經過調整和/或適應殘障學生的ATAR、普通或基礎課程內容</w:t>
      </w:r>
    </w:p>
    <w:p w14:paraId="6E03CD23" w14:textId="77777777" w:rsidR="00EF6D86" w:rsidRPr="00DC64DF" w:rsidRDefault="00EF6D86" w:rsidP="00EF6D86">
      <w:pPr>
        <w:numPr>
          <w:ilvl w:val="0"/>
          <w:numId w:val="25"/>
        </w:numPr>
        <w:rPr>
          <w:rFonts w:ascii="DengXian" w:eastAsia="DengXian" w:hAnsi="DengXian"/>
        </w:rPr>
      </w:pPr>
      <w:r w:rsidRPr="00DC64DF">
        <w:rPr>
          <w:rFonts w:ascii="DengXian" w:eastAsia="DengXian" w:hAnsi="DengXian"/>
          <w:lang w:eastAsia="zh-HK"/>
        </w:rPr>
        <w:t>需要經修改的和/或獨立的教育計劃</w:t>
      </w:r>
    </w:p>
    <w:p w14:paraId="22E1BA51" w14:textId="77777777" w:rsidR="00EF6D86" w:rsidRPr="00DC64DF" w:rsidRDefault="00EF6D86" w:rsidP="00EF6D86">
      <w:pPr>
        <w:numPr>
          <w:ilvl w:val="0"/>
          <w:numId w:val="25"/>
        </w:numPr>
        <w:rPr>
          <w:rFonts w:ascii="DengXian" w:eastAsia="DengXian" w:hAnsi="DengXian"/>
        </w:rPr>
      </w:pPr>
      <w:r w:rsidRPr="00DC64DF">
        <w:rPr>
          <w:rFonts w:ascii="DengXian" w:eastAsia="DengXian" w:hAnsi="DengXian"/>
          <w:lang w:eastAsia="zh-HK"/>
        </w:rPr>
        <w:t>已根據《1992年殘障歧視法》被認定為患有殘疾，並符合上述標準。</w:t>
      </w:r>
    </w:p>
    <w:p w14:paraId="48B57FFB" w14:textId="77777777" w:rsidR="00EF6D86" w:rsidRPr="00DC64DF" w:rsidRDefault="00EF6D86" w:rsidP="00EF6D86">
      <w:pPr>
        <w:pStyle w:val="Heading2"/>
        <w:rPr>
          <w:rFonts w:ascii="DengXian" w:eastAsia="DengXian" w:hAnsi="DengXian"/>
        </w:rPr>
      </w:pPr>
      <w:r w:rsidRPr="00DC64DF">
        <w:rPr>
          <w:rFonts w:ascii="DengXian" w:eastAsia="DengXian" w:hAnsi="DengXian"/>
          <w:bCs/>
          <w:lang w:eastAsia="zh-HK"/>
        </w:rPr>
        <w:t>認可項目</w:t>
      </w:r>
    </w:p>
    <w:p w14:paraId="4EC6DB92" w14:textId="54CECF06" w:rsidR="00EF6D86" w:rsidRPr="00DC64DF" w:rsidRDefault="00EF6D86" w:rsidP="0094532B">
      <w:pPr>
        <w:pStyle w:val="ListParagraph"/>
        <w:numPr>
          <w:ilvl w:val="0"/>
          <w:numId w:val="24"/>
        </w:numPr>
        <w:tabs>
          <w:tab w:val="clear" w:pos="340"/>
          <w:tab w:val="clear" w:pos="680"/>
        </w:tabs>
        <w:ind w:left="426" w:hanging="384"/>
        <w:rPr>
          <w:rFonts w:ascii="DengXian" w:eastAsia="DengXian" w:hAnsi="DengXian"/>
          <w:color w:val="000000"/>
          <w:shd w:val="clear" w:color="auto" w:fill="FFFFFF"/>
        </w:rPr>
      </w:pPr>
      <w:r w:rsidRPr="00DC64DF">
        <w:rPr>
          <w:rFonts w:ascii="DengXian" w:eastAsia="DengXian" w:hAnsi="DengXian"/>
          <w:color w:val="000000"/>
          <w:shd w:val="clear" w:color="auto" w:fill="FFFFFF"/>
          <w:lang w:eastAsia="zh-HK"/>
        </w:rPr>
        <w:t>透過提供WACE課程未涵蓋的活動進行學習</w:t>
      </w:r>
    </w:p>
    <w:p w14:paraId="7F5CED28" w14:textId="77777777" w:rsidR="00B31DD4" w:rsidRPr="00DC64DF" w:rsidRDefault="00B31DD4" w:rsidP="00EF6D86">
      <w:pPr>
        <w:pStyle w:val="ListParagraph"/>
        <w:numPr>
          <w:ilvl w:val="0"/>
          <w:numId w:val="24"/>
        </w:numPr>
        <w:tabs>
          <w:tab w:val="clear" w:pos="340"/>
          <w:tab w:val="clear" w:pos="680"/>
        </w:tabs>
        <w:ind w:left="426" w:hanging="384"/>
        <w:rPr>
          <w:rFonts w:ascii="DengXian" w:eastAsia="DengXian" w:hAnsi="DengXian"/>
          <w:color w:val="000000"/>
          <w:shd w:val="clear" w:color="auto" w:fill="FFFFFF"/>
        </w:rPr>
      </w:pPr>
      <w:r w:rsidRPr="00DC64DF">
        <w:rPr>
          <w:rFonts w:ascii="DengXian" w:eastAsia="DengXian" w:hAnsi="DengXian"/>
          <w:color w:val="000000"/>
          <w:shd w:val="clear" w:color="auto" w:fill="FFFFFF"/>
          <w:lang w:eastAsia="zh-HK"/>
        </w:rPr>
        <w:t xml:space="preserve">可以作為學校教綱的一部分提供，也可以作為課外活動，或者由社區組織或個人提供。 </w:t>
      </w:r>
    </w:p>
    <w:p w14:paraId="3DE23EA4" w14:textId="061D967F" w:rsidR="00EF6D86" w:rsidRPr="00DC64DF" w:rsidRDefault="00B31DD4" w:rsidP="00EF6D86">
      <w:pPr>
        <w:pStyle w:val="ListParagraph"/>
        <w:numPr>
          <w:ilvl w:val="0"/>
          <w:numId w:val="24"/>
        </w:numPr>
        <w:tabs>
          <w:tab w:val="clear" w:pos="340"/>
          <w:tab w:val="clear" w:pos="680"/>
        </w:tabs>
        <w:ind w:left="426" w:hanging="384"/>
        <w:rPr>
          <w:rFonts w:ascii="DengXian" w:eastAsia="DengXian" w:hAnsi="DengXian"/>
          <w:color w:val="000000"/>
          <w:shd w:val="clear" w:color="auto" w:fill="FFFFFF"/>
        </w:rPr>
      </w:pPr>
      <w:r w:rsidRPr="00DC64DF">
        <w:rPr>
          <w:rFonts w:ascii="DengXian" w:eastAsia="DengXian" w:hAnsi="DengXian"/>
          <w:color w:val="000000"/>
          <w:shd w:val="clear" w:color="auto" w:fill="FFFFFF"/>
          <w:lang w:eastAsia="zh-HK"/>
        </w:rPr>
        <w:t xml:space="preserve">例如社區服務、預備軍和職場學習。 </w:t>
      </w:r>
    </w:p>
    <w:p w14:paraId="570C7694" w14:textId="77777777" w:rsidR="00EF6D86" w:rsidRPr="00DC64DF" w:rsidRDefault="00EF6D86" w:rsidP="00EF6D86">
      <w:pPr>
        <w:pStyle w:val="Heading2"/>
        <w:rPr>
          <w:rFonts w:ascii="DengXian" w:eastAsia="DengXian" w:hAnsi="DengXian"/>
          <w:color w:val="000000"/>
          <w:shd w:val="clear" w:color="auto" w:fill="FFFFFF"/>
        </w:rPr>
      </w:pPr>
      <w:r w:rsidRPr="00DC64DF">
        <w:rPr>
          <w:rFonts w:ascii="DengXian" w:eastAsia="DengXian" w:hAnsi="DengXian"/>
          <w:bCs/>
          <w:lang w:eastAsia="zh-HK"/>
        </w:rPr>
        <w:t>VET資格證書</w:t>
      </w:r>
    </w:p>
    <w:p w14:paraId="142DF50B" w14:textId="41157F7F" w:rsidR="00EF6D86" w:rsidRPr="00DC64DF" w:rsidRDefault="00EF6D86" w:rsidP="00EF6D86">
      <w:pPr>
        <w:pStyle w:val="ListParagraph"/>
        <w:numPr>
          <w:ilvl w:val="0"/>
          <w:numId w:val="24"/>
        </w:numPr>
        <w:tabs>
          <w:tab w:val="clear" w:pos="340"/>
          <w:tab w:val="clear" w:pos="680"/>
        </w:tabs>
        <w:ind w:left="426" w:hanging="384"/>
        <w:rPr>
          <w:rFonts w:ascii="DengXian" w:eastAsia="DengXian" w:hAnsi="DengXian"/>
          <w:szCs w:val="22"/>
        </w:rPr>
      </w:pPr>
      <w:r w:rsidRPr="00DC64DF">
        <w:rPr>
          <w:rFonts w:ascii="DengXian" w:eastAsia="DengXian" w:hAnsi="DengXian"/>
          <w:lang w:eastAsia="zh-HK"/>
        </w:rPr>
        <w:t xml:space="preserve">允許學生獲得國家認可的職業教育和培訓（VET），為步入職場累積技能和知識。 </w:t>
      </w:r>
    </w:p>
    <w:p w14:paraId="22AF780D" w14:textId="49934C21" w:rsidR="00EF6D86" w:rsidRPr="00DC64DF" w:rsidRDefault="00EF6D86" w:rsidP="000F0FBE">
      <w:pPr>
        <w:pStyle w:val="ListParagraph"/>
        <w:numPr>
          <w:ilvl w:val="0"/>
          <w:numId w:val="24"/>
        </w:numPr>
        <w:tabs>
          <w:tab w:val="clear" w:pos="340"/>
          <w:tab w:val="clear" w:pos="680"/>
        </w:tabs>
        <w:ind w:left="426" w:hanging="384"/>
        <w:rPr>
          <w:rFonts w:ascii="DengXian" w:eastAsia="DengXian" w:hAnsi="DengXian"/>
          <w:szCs w:val="22"/>
        </w:rPr>
      </w:pPr>
      <w:r w:rsidRPr="00DC64DF">
        <w:rPr>
          <w:rFonts w:ascii="DengXian" w:eastAsia="DengXian" w:hAnsi="DengXian"/>
          <w:lang w:eastAsia="zh-HK"/>
        </w:rPr>
        <w:t>學生可以使用VET資格證書作為等同的課程，將其計入WACE。</w:t>
      </w:r>
    </w:p>
    <w:p w14:paraId="57614DC7" w14:textId="77777777" w:rsidR="000F0FBE" w:rsidRPr="00DC64DF" w:rsidRDefault="000F0FBE" w:rsidP="000F0FBE">
      <w:pPr>
        <w:rPr>
          <w:rFonts w:ascii="DengXian" w:eastAsia="DengXian" w:hAnsi="DengXian"/>
          <w:b/>
          <w:bCs/>
        </w:rPr>
      </w:pPr>
    </w:p>
    <w:p w14:paraId="0B49BD22" w14:textId="77777777" w:rsidR="00EF6D86" w:rsidRPr="00DC64DF" w:rsidRDefault="00EF6D86" w:rsidP="00EF6D86">
      <w:pPr>
        <w:pStyle w:val="Heading1"/>
        <w:rPr>
          <w:rFonts w:ascii="DengXian" w:eastAsia="DengXian" w:hAnsi="DengXian"/>
          <w:color w:val="auto"/>
        </w:rPr>
      </w:pPr>
      <w:r w:rsidRPr="00DC64DF">
        <w:rPr>
          <w:rFonts w:ascii="DengXian" w:eastAsia="DengXian" w:hAnsi="DengXian"/>
          <w:bCs/>
          <w:color w:val="auto"/>
          <w:lang w:eastAsia="zh-HK"/>
        </w:rPr>
        <w:t>瞭解更多</w:t>
      </w:r>
    </w:p>
    <w:p w14:paraId="09EF3FE0" w14:textId="77777777" w:rsidR="00EF6D86" w:rsidRPr="00DC64DF" w:rsidRDefault="00EF6D86" w:rsidP="00EF6D86">
      <w:pPr>
        <w:widowControl w:val="0"/>
        <w:autoSpaceDE w:val="0"/>
        <w:autoSpaceDN w:val="0"/>
        <w:ind w:right="166"/>
        <w:rPr>
          <w:rFonts w:ascii="DengXian" w:eastAsia="DengXian" w:hAnsi="DengXian"/>
          <w:szCs w:val="22"/>
        </w:rPr>
      </w:pPr>
      <w:r w:rsidRPr="00DC64DF">
        <w:rPr>
          <w:rFonts w:ascii="DengXian" w:eastAsia="DengXian" w:hAnsi="DengXian"/>
          <w:szCs w:val="22"/>
          <w:lang w:eastAsia="zh-HK"/>
        </w:rPr>
        <w:t xml:space="preserve">學校課程與標準管理局（The School Curriculum and Standards Authority - 簡稱“管理局”）負責西澳大利亞州所有學校從幼兒園到12年級的教綱、評估、標準和報告。 </w:t>
      </w:r>
    </w:p>
    <w:p w14:paraId="45422E7E" w14:textId="77777777" w:rsidR="00EF6D86" w:rsidRPr="00DC64DF" w:rsidRDefault="00EF6D86" w:rsidP="00EF6D86">
      <w:pPr>
        <w:widowControl w:val="0"/>
        <w:autoSpaceDE w:val="0"/>
        <w:autoSpaceDN w:val="0"/>
        <w:ind w:right="166"/>
        <w:rPr>
          <w:rFonts w:ascii="DengXian" w:eastAsia="DengXian" w:hAnsi="DengXian"/>
          <w:szCs w:val="22"/>
        </w:rPr>
      </w:pPr>
      <w:r w:rsidRPr="00DC64DF">
        <w:rPr>
          <w:rFonts w:ascii="DengXian" w:eastAsia="DengXian" w:hAnsi="DengXian"/>
          <w:szCs w:val="22"/>
          <w:lang w:eastAsia="zh-HK"/>
        </w:rPr>
        <w:t xml:space="preserve">請訪問他們的網站： </w:t>
      </w:r>
    </w:p>
    <w:p w14:paraId="26E96D30" w14:textId="285CDA57" w:rsidR="00EF6D86" w:rsidRPr="00DC64DF" w:rsidRDefault="00000000" w:rsidP="000556EB">
      <w:pPr>
        <w:pStyle w:val="ListParagraph"/>
        <w:widowControl w:val="0"/>
        <w:numPr>
          <w:ilvl w:val="0"/>
          <w:numId w:val="23"/>
        </w:numPr>
        <w:tabs>
          <w:tab w:val="clear" w:pos="340"/>
          <w:tab w:val="clear" w:pos="680"/>
        </w:tabs>
        <w:autoSpaceDE w:val="0"/>
        <w:autoSpaceDN w:val="0"/>
        <w:ind w:left="392" w:right="-2"/>
        <w:rPr>
          <w:rFonts w:ascii="DengXian" w:eastAsia="DengXian" w:hAnsi="DengXian"/>
          <w:color w:val="592C82"/>
          <w:szCs w:val="22"/>
        </w:rPr>
      </w:pPr>
      <w:hyperlink r:id="rId13" w:history="1">
        <w:r w:rsidR="00EF6D86" w:rsidRPr="00DC64DF">
          <w:rPr>
            <w:rStyle w:val="Hyperlink"/>
            <w:rFonts w:ascii="DengXian" w:eastAsia="DengXian" w:hAnsi="DengXian"/>
            <w:color w:val="592C82"/>
            <w:szCs w:val="22"/>
            <w:lang w:eastAsia="zh-HK"/>
          </w:rPr>
          <w:t>https://parent.scsa.wa.edu.au/what-will-my-child-learn</w:t>
        </w:r>
      </w:hyperlink>
      <w:r w:rsidR="00EF6D86" w:rsidRPr="00DC64DF">
        <w:rPr>
          <w:rFonts w:ascii="DengXian" w:eastAsia="DengXian" w:hAnsi="DengXian"/>
          <w:color w:val="592C82"/>
          <w:szCs w:val="22"/>
          <w:lang w:eastAsia="zh-HK"/>
        </w:rPr>
        <w:t xml:space="preserve"> </w:t>
      </w:r>
    </w:p>
    <w:p w14:paraId="38D02603" w14:textId="5986C2F2" w:rsidR="00895588" w:rsidRPr="00DC64DF" w:rsidRDefault="00000000" w:rsidP="00895588">
      <w:pPr>
        <w:pStyle w:val="ListParagraph"/>
        <w:widowControl w:val="0"/>
        <w:numPr>
          <w:ilvl w:val="0"/>
          <w:numId w:val="23"/>
        </w:numPr>
        <w:tabs>
          <w:tab w:val="clear" w:pos="340"/>
          <w:tab w:val="clear" w:pos="680"/>
        </w:tabs>
        <w:autoSpaceDE w:val="0"/>
        <w:autoSpaceDN w:val="0"/>
        <w:ind w:left="392" w:right="-2"/>
        <w:rPr>
          <w:rFonts w:ascii="DengXian" w:eastAsia="DengXian" w:hAnsi="DengXian"/>
          <w:color w:val="592C82"/>
          <w:szCs w:val="22"/>
          <w:u w:val="single"/>
        </w:rPr>
      </w:pPr>
      <w:hyperlink r:id="rId14" w:history="1">
        <w:r w:rsidR="00EF6D86" w:rsidRPr="00DC64DF">
          <w:rPr>
            <w:rFonts w:ascii="DengXian" w:eastAsia="DengXian" w:hAnsi="DengXian"/>
            <w:color w:val="592C82"/>
            <w:szCs w:val="22"/>
            <w:u w:val="single"/>
            <w:lang w:eastAsia="zh-HK"/>
          </w:rPr>
          <w:t>https://senior-secondary.scsa.wa.edu.au/certification/wace</w:t>
        </w:r>
      </w:hyperlink>
      <w:r w:rsidR="00EF6D86" w:rsidRPr="00DC64DF">
        <w:rPr>
          <w:rFonts w:ascii="DengXian" w:eastAsia="DengXian" w:hAnsi="DengXian"/>
          <w:color w:val="592C82"/>
          <w:szCs w:val="22"/>
          <w:u w:val="single"/>
          <w:lang w:eastAsia="zh-HK"/>
        </w:rPr>
        <w:t xml:space="preserve">  </w:t>
      </w:r>
    </w:p>
    <w:p w14:paraId="177F7E45" w14:textId="77777777" w:rsidR="00EF6D86" w:rsidRPr="00DC64DF" w:rsidRDefault="00EF6D86" w:rsidP="00EF6D86">
      <w:pPr>
        <w:widowControl w:val="0"/>
        <w:autoSpaceDE w:val="0"/>
        <w:autoSpaceDN w:val="0"/>
        <w:ind w:right="166"/>
        <w:rPr>
          <w:rFonts w:ascii="DengXian" w:eastAsia="DengXian" w:hAnsi="DengXian"/>
          <w:szCs w:val="22"/>
        </w:rPr>
      </w:pPr>
    </w:p>
    <w:p w14:paraId="13582C24" w14:textId="77777777" w:rsidR="00EF6D86" w:rsidRPr="00DC64DF" w:rsidRDefault="00EF6D86" w:rsidP="00EF6D86">
      <w:pPr>
        <w:pStyle w:val="Notes"/>
        <w:spacing w:before="0"/>
        <w:rPr>
          <w:rFonts w:ascii="DengXian" w:eastAsia="DengXian" w:hAnsi="DengXian"/>
          <w:sz w:val="22"/>
          <w:szCs w:val="22"/>
        </w:rPr>
      </w:pPr>
    </w:p>
    <w:p w14:paraId="66238EBB" w14:textId="77777777" w:rsidR="00C67C14" w:rsidRPr="00DC64DF" w:rsidRDefault="00C67C14" w:rsidP="000556EB">
      <w:pPr>
        <w:rPr>
          <w:rFonts w:ascii="DengXian" w:eastAsia="DengXian" w:hAnsi="DengXian"/>
          <w:szCs w:val="22"/>
          <w:u w:val="single"/>
        </w:rPr>
      </w:pPr>
    </w:p>
    <w:sectPr w:rsidR="00C67C14" w:rsidRPr="00DC64DF"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3FA2" w14:textId="77777777" w:rsidR="00845C80" w:rsidRPr="0034331E" w:rsidRDefault="00845C80" w:rsidP="00127DAD">
      <w:r>
        <w:separator/>
      </w:r>
    </w:p>
  </w:endnote>
  <w:endnote w:type="continuationSeparator" w:id="0">
    <w:p w14:paraId="76FC52EC" w14:textId="77777777" w:rsidR="00845C80" w:rsidRPr="0034331E" w:rsidRDefault="00845C80"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eastAsia="zh-HK"/>
          </w:rPr>
          <w:t>D26/0249557</w:t>
        </w:r>
      </w:p>
      <w:p w14:paraId="45B84C8E" w14:textId="13190473" w:rsidR="00C2534C" w:rsidRPr="009C0A89" w:rsidRDefault="009C0A89" w:rsidP="009C0A89">
        <w:pPr>
          <w:pStyle w:val="Footer"/>
          <w:ind w:right="510"/>
          <w:jc w:val="right"/>
          <w:rPr>
            <w:sz w:val="18"/>
            <w:szCs w:val="14"/>
          </w:rPr>
        </w:pPr>
        <w:r>
          <w:rPr>
            <w:sz w:val="18"/>
            <w:szCs w:val="14"/>
            <w:lang w:eastAsia="zh-HK"/>
          </w:rPr>
          <w:t>March 2026</w:t>
        </w:r>
      </w:p>
      <w:p w14:paraId="6195C32D" w14:textId="2510D5FF" w:rsidR="00707FE1" w:rsidRDefault="00707FE1" w:rsidP="00C2534C">
        <w:pPr>
          <w:pStyle w:val="Footer"/>
          <w:jc w:val="cen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201A" w14:textId="40E5CA08" w:rsidR="009B37D6" w:rsidRDefault="009B37D6" w:rsidP="009B37D6">
    <w:pPr>
      <w:pStyle w:val="Footer"/>
      <w:ind w:right="510"/>
      <w:jc w:val="right"/>
      <w:rPr>
        <w:sz w:val="18"/>
        <w:szCs w:val="14"/>
      </w:rPr>
    </w:pPr>
    <w:r>
      <w:rPr>
        <w:sz w:val="18"/>
        <w:szCs w:val="14"/>
        <w:lang w:eastAsia="zh-HK"/>
      </w:rPr>
      <w:t>D26/0249557</w:t>
    </w:r>
  </w:p>
  <w:p w14:paraId="496053F8" w14:textId="77777777" w:rsidR="009B37D6" w:rsidRPr="009C0A89" w:rsidRDefault="009B37D6" w:rsidP="009B37D6">
    <w:pPr>
      <w:pStyle w:val="Footer"/>
      <w:ind w:right="510"/>
      <w:jc w:val="right"/>
      <w:rPr>
        <w:sz w:val="18"/>
        <w:szCs w:val="14"/>
      </w:rPr>
    </w:pPr>
    <w:r>
      <w:rPr>
        <w:sz w:val="18"/>
        <w:szCs w:val="14"/>
        <w:lang w:eastAsia="zh-HK"/>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8793" w14:textId="77777777" w:rsidR="00845C80" w:rsidRPr="0034331E" w:rsidRDefault="00845C80" w:rsidP="00127DAD">
      <w:r>
        <w:separator/>
      </w:r>
    </w:p>
  </w:footnote>
  <w:footnote w:type="continuationSeparator" w:id="0">
    <w:p w14:paraId="38E45DE3" w14:textId="77777777" w:rsidR="00845C80" w:rsidRPr="0034331E" w:rsidRDefault="00845C80"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1FF7" w14:textId="13FA368E" w:rsidR="00957C5C" w:rsidRPr="0034331E" w:rsidRDefault="00957C5C">
    <w:pPr>
      <w:pStyle w:val="Header"/>
    </w:pPr>
    <w:r>
      <w:rPr>
        <w:noProof/>
        <w:lang w:eastAsia="zh-HK"/>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9D82" w14:textId="0F2A19C7" w:rsidR="00947583" w:rsidRDefault="00584D3C">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0DAE11D" wp14:editId="7B4A3CE5">
              <wp:simplePos x="0" y="0"/>
              <wp:positionH relativeFrom="column">
                <wp:posOffset>5456255</wp:posOffset>
              </wp:positionH>
              <wp:positionV relativeFrom="paragraph">
                <wp:posOffset>-407712</wp:posOffset>
              </wp:positionV>
              <wp:extent cx="11557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0030"/>
                      </a:xfrm>
                      <a:prstGeom prst="rect">
                        <a:avLst/>
                      </a:prstGeom>
                      <a:noFill/>
                      <a:ln w="9525">
                        <a:noFill/>
                        <a:miter lim="800000"/>
                        <a:headEnd/>
                        <a:tailEnd/>
                      </a:ln>
                    </wps:spPr>
                    <wps:txbx>
                      <w:txbxContent>
                        <w:p w14:paraId="17FB0E19" w14:textId="77777777" w:rsidR="00584D3C" w:rsidRDefault="00584D3C" w:rsidP="00584D3C">
                          <w:pPr>
                            <w:rPr>
                              <w:color w:val="767171" w:themeColor="background2" w:themeShade="80"/>
                              <w:sz w:val="16"/>
                              <w:szCs w:val="14"/>
                            </w:rPr>
                          </w:pPr>
                          <w:r>
                            <w:rPr>
                              <w:color w:val="767171" w:themeColor="background2" w:themeShade="80"/>
                              <w:sz w:val="16"/>
                              <w:szCs w:val="14"/>
                            </w:rPr>
                            <w:t>Traditional Chinese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0DAE11D" id="_x0000_t202" coordsize="21600,21600" o:spt="202" path="m,l,21600r21600,l21600,xe">
              <v:stroke joinstyle="miter"/>
              <v:path gradientshapeok="t" o:connecttype="rect"/>
            </v:shapetype>
            <v:shape id="Text Box 1" o:spid="_x0000_s1026" type="#_x0000_t202" style="position:absolute;margin-left:429.65pt;margin-top:-32.1pt;width:91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" filled="f" stroked="f">
              <v:textbox>
                <w:txbxContent>
                  <w:p w14:paraId="17FB0E19" w14:textId="77777777" w:rsidR="00584D3C" w:rsidRDefault="00584D3C" w:rsidP="00584D3C">
                    <w:pPr>
                      <w:rPr>
                        <w:color w:val="767171" w:themeColor="background2" w:themeShade="80"/>
                        <w:sz w:val="16"/>
                        <w:szCs w:val="14"/>
                      </w:rPr>
                    </w:pPr>
                    <w:r>
                      <w:rPr>
                        <w:color w:val="767171" w:themeColor="background2" w:themeShade="80"/>
                        <w:sz w:val="16"/>
                        <w:szCs w:val="14"/>
                      </w:rPr>
                      <w:t>Traditional Chinese</w:t>
                    </w:r>
                  </w:p>
                </w:txbxContent>
              </v:textbox>
              <w10:wrap type="square"/>
            </v:shape>
          </w:pict>
        </mc:Fallback>
      </mc:AlternateContent>
    </w:r>
    <w:r w:rsidR="006C1619">
      <w:rPr>
        <w:noProof/>
        <w:lang w:eastAsia="zh-HK"/>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eastAsia="zh-HK"/>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B7527"/>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84D3C"/>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45C80"/>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2C2D"/>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865C4"/>
    <w:rsid w:val="00D96CBB"/>
    <w:rsid w:val="00DA1B75"/>
    <w:rsid w:val="00DB16A8"/>
    <w:rsid w:val="00DC188E"/>
    <w:rsid w:val="00DC5976"/>
    <w:rsid w:val="00DC5BCA"/>
    <w:rsid w:val="00DC64DF"/>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0E53EC3F-3D71-48D5-8EFE-48B2DA829724}"/>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271</Words>
  <Characters>1551</Characters>
  <Application>Microsoft Office Word</Application>
  <DocSecurity>0</DocSecurity>
  <Lines>12</Lines>
  <Paragraphs>3</Paragraphs>
  <ScaleCrop>false</ScaleCrop>
  <Company>Department of Education Western Australia</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77</cp:revision>
  <cp:lastPrinted>2023-02-22T17:18:00Z</cp:lastPrinted>
  <dcterms:created xsi:type="dcterms:W3CDTF">2025-11-03T23:26:00Z</dcterms:created>
  <dcterms:modified xsi:type="dcterms:W3CDTF">2026-04-13T22:03:00Z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