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val="vi"/>
        </w:rPr>
        <w:t>Con đường vào đại học</w:t>
      </w:r>
    </w:p>
    <w:p w14:paraId="7B23013F" w14:textId="155A102B" w:rsidR="00F424CC" w:rsidRPr="00F424CC" w:rsidRDefault="00F424CC" w:rsidP="004C3145">
      <w:pPr>
        <w:pStyle w:val="Title"/>
        <w:rPr>
          <w:color w:val="auto"/>
          <w:sz w:val="36"/>
          <w:szCs w:val="36"/>
        </w:rPr>
      </w:pPr>
      <w:r>
        <w:rPr>
          <w:bCs/>
          <w:color w:val="auto"/>
          <w:sz w:val="36"/>
          <w:szCs w:val="36"/>
          <w:lang w:val="vi"/>
        </w:rPr>
        <w:t>Thông tin cho phụ huynh và người chăm sóc</w:t>
      </w:r>
    </w:p>
    <w:bookmarkEnd w:id="0"/>
    <w:bookmarkEnd w:id="1"/>
    <w:p w14:paraId="78A52AA3" w14:textId="77777777" w:rsidR="00F424CC" w:rsidRPr="005878AF" w:rsidRDefault="00F424CC" w:rsidP="004C3145">
      <w:pPr>
        <w:pStyle w:val="BodyText"/>
        <w:spacing w:before="209"/>
        <w:rPr>
          <w:lang w:val="vi"/>
        </w:rPr>
      </w:pPr>
      <w:r>
        <w:rPr>
          <w:lang w:val="vi"/>
        </w:rPr>
        <w:t>Học sinh cấp 3 có thể chọn những con đường khác nhau để vào đại học, học nghề và đi làm. Các con đường có thể được lựa chọn để đáp ứng những mối quan tâm, kỹ năng, nhu cầu và khát vọng của học sinh.</w:t>
      </w:r>
    </w:p>
    <w:p w14:paraId="7361B4A9" w14:textId="77777777" w:rsidR="00F424CC" w:rsidRPr="005878AF" w:rsidRDefault="00F424CC" w:rsidP="004C3145">
      <w:pPr>
        <w:pStyle w:val="BodyText"/>
        <w:spacing w:before="1"/>
        <w:rPr>
          <w:sz w:val="19"/>
          <w:lang w:val="vi"/>
        </w:rPr>
      </w:pPr>
    </w:p>
    <w:p w14:paraId="065CA492" w14:textId="77777777" w:rsidR="00F424CC" w:rsidRPr="005878AF" w:rsidRDefault="00F424CC" w:rsidP="004C3145">
      <w:pPr>
        <w:rPr>
          <w:b/>
          <w:color w:val="592C82"/>
          <w:sz w:val="26"/>
          <w:lang w:val="vi"/>
        </w:rPr>
      </w:pPr>
      <w:r>
        <w:rPr>
          <w:b/>
          <w:bCs/>
          <w:color w:val="592C82"/>
          <w:sz w:val="26"/>
          <w:lang w:val="vi"/>
        </w:rPr>
        <w:t>Những đường nào vào đại học?</w:t>
      </w:r>
    </w:p>
    <w:p w14:paraId="1FEA9186" w14:textId="2A617920" w:rsidR="00F321C6" w:rsidRPr="005878AF" w:rsidRDefault="00F424CC" w:rsidP="00037E99">
      <w:pPr>
        <w:widowControl w:val="0"/>
        <w:autoSpaceDE w:val="0"/>
        <w:autoSpaceDN w:val="0"/>
        <w:spacing w:before="221" w:after="120" w:line="276" w:lineRule="exact"/>
        <w:outlineLvl w:val="0"/>
        <w:rPr>
          <w:rFonts w:eastAsia="Arial"/>
          <w:b/>
          <w:bCs/>
          <w:spacing w:val="-4"/>
          <w:sz w:val="24"/>
          <w:szCs w:val="24"/>
          <w:lang w:val="vi"/>
        </w:rPr>
      </w:pPr>
      <w:r>
        <w:rPr>
          <w:rFonts w:eastAsia="Arial"/>
          <w:b/>
          <w:bCs/>
          <w:sz w:val="24"/>
          <w:szCs w:val="24"/>
          <w:lang w:val="vi"/>
        </w:rPr>
        <w:t>ATAR</w:t>
      </w:r>
    </w:p>
    <w:p w14:paraId="7BA0A285" w14:textId="77F6E707" w:rsidR="00A52B71" w:rsidRPr="005878AF" w:rsidRDefault="00F424CC" w:rsidP="004529D5">
      <w:pPr>
        <w:pStyle w:val="BodyText"/>
        <w:rPr>
          <w:lang w:val="vi"/>
        </w:rPr>
      </w:pPr>
      <w:r>
        <w:rPr>
          <w:lang w:val="vi"/>
        </w:rPr>
        <w:t xml:space="preserve">Xếp hạng Tuyển sinh Đại học Úc (ATAR) của học sinh được tính bằng cách sử dụng kết quả môn học và kỳ thi. Cần phải có tối thiểu 4 môn ATAR. Đối với hầu hết học sinh, bản chất học thuật và độ khó của các môn ATAR cung cấp sự chuẩn bị tốt nhất cho thành công ở đại học. </w:t>
      </w:r>
    </w:p>
    <w:p w14:paraId="17F32ACD" w14:textId="77777777" w:rsidR="00A52B71" w:rsidRPr="005878AF" w:rsidRDefault="00A52B71" w:rsidP="004529D5">
      <w:pPr>
        <w:pStyle w:val="BodyText"/>
        <w:rPr>
          <w:lang w:val="vi"/>
        </w:rPr>
      </w:pPr>
    </w:p>
    <w:p w14:paraId="036899A0" w14:textId="2AF1C3D9" w:rsidR="004529D5" w:rsidRPr="005878AF" w:rsidRDefault="004529D5" w:rsidP="004529D5">
      <w:pPr>
        <w:pStyle w:val="BodyText"/>
        <w:rPr>
          <w:lang w:val="vi"/>
        </w:rPr>
      </w:pPr>
      <w:r>
        <w:rPr>
          <w:lang w:val="vi"/>
        </w:rPr>
        <w:t>Học sinh lớp 12 được trường học của mình cung cấp thông tin về việc nộp đơn vào đại học và tuyển sinh vào các khóa cử nhân.</w:t>
      </w:r>
    </w:p>
    <w:p w14:paraId="0D162FFB" w14:textId="77777777" w:rsidR="00F424CC" w:rsidRPr="005878AF" w:rsidRDefault="00F424CC" w:rsidP="004C3145">
      <w:pPr>
        <w:pStyle w:val="BodyText"/>
        <w:rPr>
          <w:lang w:val="vi"/>
        </w:rPr>
      </w:pPr>
    </w:p>
    <w:p w14:paraId="273B6216" w14:textId="77777777" w:rsidR="00F424CC" w:rsidRPr="005878AF" w:rsidRDefault="00F424CC" w:rsidP="004C3145">
      <w:pPr>
        <w:pStyle w:val="BodyText"/>
        <w:rPr>
          <w:lang w:val="vi"/>
        </w:rPr>
      </w:pPr>
      <w:r>
        <w:rPr>
          <w:lang w:val="vi"/>
        </w:rPr>
        <w:t>Để được xét duyệt vào đại học như một học sinh tốt nghiệp bằng cách sử dụng điểm ATAR, học sinh phải:</w:t>
      </w:r>
    </w:p>
    <w:p w14:paraId="2C2EBEC9" w14:textId="3D68334C" w:rsidR="00F424CC" w:rsidRPr="005878AF" w:rsidRDefault="00F424CC" w:rsidP="00D70709">
      <w:pPr>
        <w:pStyle w:val="BodyText"/>
        <w:numPr>
          <w:ilvl w:val="0"/>
          <w:numId w:val="23"/>
        </w:numPr>
        <w:ind w:left="700"/>
        <w:rPr>
          <w:lang w:val="vi"/>
        </w:rPr>
      </w:pPr>
      <w:r>
        <w:rPr>
          <w:lang w:val="vi"/>
        </w:rPr>
        <w:t>đạt các yêu cầu đối với tốt nghiệp cấp 3 bang Tây Úc (WACE)</w:t>
      </w:r>
    </w:p>
    <w:p w14:paraId="5618A6A3" w14:textId="4B64AF42" w:rsidR="004C4720" w:rsidRPr="005878AF" w:rsidRDefault="00F424CC" w:rsidP="00063A80">
      <w:pPr>
        <w:pStyle w:val="BodyText"/>
        <w:numPr>
          <w:ilvl w:val="0"/>
          <w:numId w:val="23"/>
        </w:numPr>
        <w:ind w:left="700"/>
        <w:rPr>
          <w:lang w:val="vi"/>
        </w:rPr>
      </w:pPr>
      <w:r>
        <w:rPr>
          <w:noProof/>
          <w:lang w:val="vi"/>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F70696" id="Freeform: Shape 4" o:spid="_x0000_s1026" style="position:absolute;margin-left:106.95pt;margin-top:13.35pt;width:77.2pt;height:2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Pr>
          <w:lang w:val="vi"/>
        </w:rPr>
        <w:t>đạt chuẩn Năng lực tiếng Anh theo yêu cầu của mỗi đại học</w:t>
      </w:r>
    </w:p>
    <w:p w14:paraId="22C751E3" w14:textId="16C4E76B" w:rsidR="00F424CC" w:rsidRPr="005878AF" w:rsidRDefault="00F424CC" w:rsidP="00D70709">
      <w:pPr>
        <w:pStyle w:val="BodyText"/>
        <w:numPr>
          <w:ilvl w:val="0"/>
          <w:numId w:val="24"/>
        </w:numPr>
        <w:ind w:left="700"/>
        <w:rPr>
          <w:lang w:val="vi"/>
        </w:rPr>
      </w:pPr>
      <w:r>
        <w:rPr>
          <w:lang w:val="vi"/>
        </w:rPr>
        <w:t>đạt điểm ATAR đủ cao để vào được một khóa cụ thể</w:t>
      </w:r>
    </w:p>
    <w:p w14:paraId="539D46F5" w14:textId="77777777" w:rsidR="00F424CC" w:rsidRPr="005878AF" w:rsidRDefault="00F424CC" w:rsidP="00D70709">
      <w:pPr>
        <w:pStyle w:val="BodyText"/>
        <w:numPr>
          <w:ilvl w:val="0"/>
          <w:numId w:val="24"/>
        </w:numPr>
        <w:ind w:left="700"/>
        <w:rPr>
          <w:lang w:val="vi"/>
        </w:rPr>
      </w:pPr>
      <w:r>
        <w:rPr>
          <w:lang w:val="vi"/>
        </w:rPr>
        <w:t>thỏa mãn bất kỳ điều kiện tiên quyết hoặc những yêu cầu đặc biệt để vào một khóa học cụ thể.</w:t>
      </w:r>
    </w:p>
    <w:p w14:paraId="53B80882" w14:textId="77777777" w:rsidR="00F424CC" w:rsidRPr="005878AF" w:rsidRDefault="00F424CC" w:rsidP="004C3145">
      <w:pPr>
        <w:pStyle w:val="BodyText"/>
        <w:rPr>
          <w:sz w:val="21"/>
          <w:lang w:val="vi"/>
        </w:rPr>
      </w:pPr>
    </w:p>
    <w:p w14:paraId="4A59D5CC" w14:textId="691D99E4" w:rsidR="00AB030C" w:rsidRPr="005878AF" w:rsidRDefault="00AB030C" w:rsidP="00037E99">
      <w:pPr>
        <w:widowControl w:val="0"/>
        <w:autoSpaceDE w:val="0"/>
        <w:autoSpaceDN w:val="0"/>
        <w:spacing w:before="120" w:after="120"/>
        <w:outlineLvl w:val="0"/>
        <w:rPr>
          <w:rFonts w:eastAsia="Arial"/>
          <w:b/>
          <w:bCs/>
          <w:sz w:val="24"/>
          <w:szCs w:val="24"/>
          <w:lang w:val="vi"/>
        </w:rPr>
      </w:pPr>
      <w:r>
        <w:rPr>
          <w:rFonts w:eastAsia="Arial"/>
          <w:sz w:val="24"/>
          <w:szCs w:val="24"/>
          <w:lang w:val="vi"/>
        </w:rPr>
        <w:t>ATAR kèm Điều chỉnh Xếp hạng Tuyển chọn</w:t>
      </w:r>
    </w:p>
    <w:p w14:paraId="0C8516B7" w14:textId="16031CC7" w:rsidR="00AB030C" w:rsidRPr="005878AF" w:rsidRDefault="00AB030C" w:rsidP="00366ADE">
      <w:pPr>
        <w:widowControl w:val="0"/>
        <w:autoSpaceDE w:val="0"/>
        <w:autoSpaceDN w:val="0"/>
        <w:spacing w:before="9" w:line="254" w:lineRule="auto"/>
        <w:ind w:right="212"/>
        <w:rPr>
          <w:rFonts w:eastAsia="Arial"/>
          <w:szCs w:val="22"/>
          <w:lang w:val="vi"/>
        </w:rPr>
      </w:pPr>
      <w:r>
        <w:rPr>
          <w:rFonts w:eastAsia="Arial"/>
          <w:szCs w:val="22"/>
          <w:lang w:val="vi"/>
        </w:rPr>
        <w:t>Một số học sinh được hưởng điều kiện điều chỉnh điểm ATAR. Điều chỉnh làm tăng xếp hạng của một học sinh do các yếu tố như:</w:t>
      </w:r>
    </w:p>
    <w:p w14:paraId="325D2065" w14:textId="7978F5B3" w:rsidR="001B0C7F" w:rsidRPr="005878AF"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lang w:val="vi"/>
        </w:rPr>
      </w:pPr>
      <w:r>
        <w:rPr>
          <w:rFonts w:eastAsia="Arial"/>
          <w:szCs w:val="22"/>
          <w:lang w:val="vi"/>
        </w:rPr>
        <w:t>sinh sống hoặc đi học ở một vùng nhất định</w:t>
      </w:r>
    </w:p>
    <w:p w14:paraId="215F1C93" w14:textId="77405392" w:rsidR="002F2387" w:rsidRPr="005878A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lang w:val="vi"/>
        </w:rPr>
      </w:pPr>
      <w:r>
        <w:rPr>
          <w:rFonts w:eastAsia="Arial"/>
          <w:szCs w:val="22"/>
          <w:lang w:val="vi"/>
        </w:rPr>
        <w:t>là người đầu tiên trong gia đình vào đại học</w:t>
      </w:r>
    </w:p>
    <w:p w14:paraId="1E052703" w14:textId="789A2A8B" w:rsidR="00037E99" w:rsidRPr="005878AF" w:rsidRDefault="006E2FC1" w:rsidP="004A1E57">
      <w:pPr>
        <w:pStyle w:val="BodyText"/>
        <w:spacing w:before="120" w:after="120" w:line="252" w:lineRule="auto"/>
        <w:ind w:right="212"/>
        <w:rPr>
          <w:b/>
          <w:bCs/>
          <w:sz w:val="24"/>
          <w:szCs w:val="24"/>
          <w:lang w:val="vi"/>
        </w:rPr>
        <w:sectPr w:rsidR="00037E99" w:rsidRPr="005878AF"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Pr>
          <w:color w:val="000000"/>
          <w:shd w:val="clear" w:color="auto" w:fill="FFFFFF"/>
          <w:lang w:val="vi"/>
        </w:rPr>
        <w:t xml:space="preserve">Một học sinh có thể có những xếp hạng tuyển sinh khác nhau đối với các trường đại học khác nhau Trung tâm Dịch vụ Đại học (TISC) có tập thông tin tuyển sinh đại học mỗi năm với những yêu cầu tuyển sinh và những lựa chọn con đường: </w:t>
      </w:r>
      <w:hyperlink r:id="rId16" w:history="1">
        <w:r>
          <w:rPr>
            <w:rStyle w:val="Hyperlink"/>
            <w:shd w:val="clear" w:color="auto" w:fill="FFFFFF"/>
            <w:lang w:val="vi"/>
          </w:rPr>
          <w:t>https://tisc.edu.au/static/guide/download.tisc</w:t>
        </w:r>
      </w:hyperlink>
      <w:r>
        <w:rPr>
          <w:color w:val="000000"/>
          <w:shd w:val="clear" w:color="auto" w:fill="FFFFFF"/>
          <w:lang w:val="vi"/>
        </w:rPr>
        <w:t xml:space="preserve"> </w:t>
      </w:r>
    </w:p>
    <w:p w14:paraId="46B66F2A" w14:textId="77777777" w:rsidR="00037E99" w:rsidRPr="005878AF" w:rsidRDefault="00037E99" w:rsidP="00037E99">
      <w:pPr>
        <w:widowControl w:val="0"/>
        <w:autoSpaceDE w:val="0"/>
        <w:autoSpaceDN w:val="0"/>
        <w:spacing w:before="240" w:after="120" w:line="268" w:lineRule="exact"/>
        <w:rPr>
          <w:rFonts w:eastAsia="Arial"/>
          <w:b/>
          <w:bCs/>
          <w:sz w:val="24"/>
          <w:szCs w:val="24"/>
          <w:lang w:val="vi"/>
        </w:rPr>
        <w:sectPr w:rsidR="00037E99" w:rsidRPr="005878AF" w:rsidSect="00037E99">
          <w:type w:val="continuous"/>
          <w:pgSz w:w="11906" w:h="16838"/>
          <w:pgMar w:top="709" w:right="1247" w:bottom="709" w:left="1247" w:header="680" w:footer="737" w:gutter="0"/>
          <w:cols w:space="708"/>
          <w:titlePg/>
          <w:docGrid w:linePitch="360"/>
        </w:sectPr>
      </w:pPr>
    </w:p>
    <w:p w14:paraId="23B5DAF1" w14:textId="77777777" w:rsidR="0070116B" w:rsidRPr="005878AF" w:rsidRDefault="0070116B" w:rsidP="004C3145">
      <w:pPr>
        <w:pStyle w:val="BodyText"/>
        <w:spacing w:before="5"/>
        <w:rPr>
          <w:b/>
          <w:bCs/>
          <w:lang w:val="vi"/>
        </w:rPr>
      </w:pPr>
    </w:p>
    <w:p w14:paraId="77FCC099" w14:textId="2375F630" w:rsidR="00291390" w:rsidRPr="005878AF" w:rsidRDefault="00291390" w:rsidP="00037E99">
      <w:pPr>
        <w:pStyle w:val="BodyText"/>
        <w:spacing w:before="120" w:after="60" w:line="254" w:lineRule="auto"/>
        <w:ind w:right="212"/>
        <w:rPr>
          <w:b/>
          <w:bCs/>
          <w:sz w:val="24"/>
          <w:szCs w:val="24"/>
          <w:lang w:val="vi"/>
        </w:rPr>
      </w:pPr>
      <w:r>
        <w:rPr>
          <w:b/>
          <w:bCs/>
          <w:sz w:val="24"/>
          <w:szCs w:val="24"/>
          <w:lang w:val="vi"/>
        </w:rPr>
        <w:t>Các khóa hỗ trợ vào đại học</w:t>
      </w:r>
    </w:p>
    <w:p w14:paraId="759740C7" w14:textId="77777777" w:rsidR="00F520DD" w:rsidRPr="005878AF" w:rsidRDefault="00291390" w:rsidP="004C3145">
      <w:pPr>
        <w:pStyle w:val="BodyText"/>
        <w:spacing w:after="120"/>
        <w:rPr>
          <w:lang w:val="vi"/>
        </w:rPr>
      </w:pPr>
      <w:r>
        <w:rPr>
          <w:lang w:val="vi"/>
        </w:rPr>
        <w:t xml:space="preserve">Các khóa hỗ trợ vào đại học được thiết kế để chuẩn bị học sinh đủ điều kiện vào những khóa cử nhân. Những khóa học này phát triển các kỹ năng cần để thành công trong học tập cấp đại học, chẳng hạn nghiên cứu và viết học thuật, tính toán, và kỹ năng tư duy phê phán. </w:t>
      </w:r>
    </w:p>
    <w:p w14:paraId="29910771" w14:textId="5AA7443E" w:rsidR="00D47A10" w:rsidRPr="005878AF" w:rsidRDefault="00D537D1" w:rsidP="004C3145">
      <w:pPr>
        <w:pStyle w:val="BodyText"/>
        <w:spacing w:after="120"/>
        <w:rPr>
          <w:lang w:val="vi"/>
        </w:rPr>
      </w:pPr>
      <w:r>
        <w:rPr>
          <w:lang w:val="vi"/>
        </w:rPr>
        <w:t xml:space="preserve">Những khóa hỗ trợ vào đại học là miễn phí cho các học sinh tốt nghiệp là công dân Úc, nhưng chi phí và điều kiện tham dự có thể thay đổi đối với người không phải công dân.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vi"/>
              </w:rPr>
              <w:t>Đại học</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vi"/>
              </w:rPr>
              <w:t>Website</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vi"/>
              </w:rP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vi"/>
              </w:rPr>
              <w:t xml:space="preserve">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7" w:history="1">
              <w:r>
                <w:rPr>
                  <w:rStyle w:val="Hyperlink"/>
                  <w:lang w:val="vi"/>
                </w:rPr>
                <w:t>https://www.curtin.edu.au/study/applying/pathways/uniready-enabling-program/</w:t>
              </w:r>
            </w:hyperlink>
            <w:r>
              <w:rPr>
                <w:lang w:val="vi"/>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vi"/>
              </w:rP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vi"/>
              </w:rPr>
              <w:t>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18" w:history="1">
              <w:r>
                <w:rPr>
                  <w:rStyle w:val="Hyperlink"/>
                  <w:lang w:val="vi"/>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vi"/>
              </w:rP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vi"/>
              </w:rPr>
              <w:t>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19" w:history="1">
              <w:r>
                <w:rPr>
                  <w:rStyle w:val="Hyperlink"/>
                  <w:lang w:val="vi"/>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vi"/>
              </w:rPr>
              <w:t>Đại học Notre Dame</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vi"/>
              </w:rPr>
              <w:t xml:space="preserve">Chương trình Con đường Đại học (TPP) </w:t>
            </w:r>
            <w:hyperlink r:id="rId20" w:history="1">
              <w:r>
                <w:rPr>
                  <w:rStyle w:val="Hyperlink"/>
                  <w:lang w:val="vi"/>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vi"/>
              </w:rPr>
              <w:t>Đại học Tây Úc</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vi"/>
              </w:rPr>
              <w:t>Đại học Tây Úc nhận tuyển sinh sau khi hoàn tất thành công chương trình hỗ trợ tại Đại học Úc hoặc cao đẳng liên kết với điểm trung bình có tính trọng số cuối cùng là 65% hoặc cao hơn.</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1" w:history="1">
              <w:r>
                <w:rPr>
                  <w:rStyle w:val="Hyperlink"/>
                  <w:lang w:val="vi"/>
                </w:rPr>
                <w:t>https://www.uwa.edu.au/study/how-to-apply/admission-entry-pathways/enabling-programs</w:t>
              </w:r>
            </w:hyperlink>
            <w:r>
              <w:rPr>
                <w:lang w:val="vi"/>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vi"/>
        </w:rPr>
        <w:t>Giáo dục và Đào tạo Hướng nghiệp (VET)</w:t>
      </w:r>
    </w:p>
    <w:p w14:paraId="2B655608" w14:textId="73D46355" w:rsidR="00F321C6" w:rsidRPr="005878AF" w:rsidRDefault="00553638" w:rsidP="00CC54CA">
      <w:pPr>
        <w:pStyle w:val="BodyText"/>
        <w:spacing w:before="5" w:after="120"/>
        <w:rPr>
          <w:lang w:val="vi"/>
        </w:rPr>
      </w:pPr>
      <w:r>
        <w:rPr>
          <w:lang w:val="vi"/>
        </w:rPr>
        <w:t>Bằng cấp Giáo dục và Đào tạo Hướng nghiệp (VET) có thể là con đường tuyệt vời để học lên cao hơn. Học sinh có thể sử dụng bằng cấp VET để thỏa mãn yêu cầu tuyển sinh tối thiểu đối với nhiều khóa học cử nhân. Bằng cấp VET liên quan cũng có thể cho phép chuyển đổi điểm tín chỉ hoặc xếp hạng, công nhận kỹ năng và kiến thức lĩnh hội được thông qua đào tạo hướng nghiệp.</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vi"/>
              </w:rPr>
              <w:t>Đại học</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vi"/>
              </w:rPr>
              <w:t>Website</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vi"/>
              </w:rPr>
              <w:t>Curtin</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2" w:history="1">
              <w:r>
                <w:rPr>
                  <w:rStyle w:val="Hyperlink"/>
                  <w:lang w:val="vi"/>
                </w:rPr>
                <w:t>https://www.curtin.edu.au/study/applying/pathways/tafe-vet/</w:t>
              </w:r>
            </w:hyperlink>
            <w:r>
              <w:rPr>
                <w:lang w:val="vi"/>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vi"/>
              </w:rPr>
              <w:t>Edith Cowan</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3">
              <w:r>
                <w:rPr>
                  <w:color w:val="0462C1"/>
                  <w:u w:val="single"/>
                  <w:lang w:val="vi"/>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vi"/>
              </w:rPr>
              <w:t>Murdoch</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4" w:history="1">
              <w:r>
                <w:rPr>
                  <w:rStyle w:val="Hyperlink"/>
                  <w:rFonts w:eastAsia="Arial"/>
                  <w:szCs w:val="22"/>
                  <w:lang w:val="vi"/>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vi"/>
              </w:rPr>
              <w:t>Đại học Notre Dame</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5" w:history="1">
              <w:r>
                <w:rPr>
                  <w:rStyle w:val="Hyperlink"/>
                  <w:lang w:val="vi"/>
                </w:rPr>
                <w:t>https://www.notredame.edu.au/study/applications-and-admissions/pathways/other-entry-pathways</w:t>
              </w:r>
            </w:hyperlink>
            <w:r>
              <w:rPr>
                <w:lang w:val="vi"/>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vi"/>
              </w:rPr>
              <w:t>Đại học Tây Úc</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6" w:history="1">
              <w:r>
                <w:rPr>
                  <w:rStyle w:val="Hyperlink"/>
                  <w:lang w:val="vi"/>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27"/>
          <w:footerReference w:type="first" r:id="rId28"/>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vi"/>
        </w:rPr>
        <w:t>Tuyển sinh theo hồ sơ</w:t>
      </w:r>
    </w:p>
    <w:p w14:paraId="539632D5" w14:textId="5E3C506F" w:rsidR="00F321C6" w:rsidRDefault="00291390" w:rsidP="00037E99">
      <w:pPr>
        <w:spacing w:after="240"/>
      </w:pPr>
      <w:r>
        <w:rPr>
          <w:lang w:val="vi"/>
        </w:rPr>
        <w:t xml:space="preserve">Học sinh có thể được xem xét tuyển sinh vào những khóa học cử nhân cụ thể dựa trên hồ sơ cho thấy thành tích học thuật, bằng cấp, năng lực và sự phù hợp cho học đại học. </w:t>
      </w:r>
    </w:p>
    <w:p w14:paraId="541DB3B5" w14:textId="2876061D" w:rsidR="00355F8F" w:rsidRPr="005878AF" w:rsidRDefault="00355F8F" w:rsidP="00037E99">
      <w:pPr>
        <w:pStyle w:val="BodyText"/>
        <w:spacing w:before="120" w:after="120"/>
        <w:rPr>
          <w:lang w:val="vi"/>
        </w:rPr>
      </w:pPr>
      <w:r>
        <w:rPr>
          <w:lang w:val="vi"/>
        </w:rPr>
        <w:t xml:space="preserve">Có tuyển sinh theo hồ sơ cho nhiều loại khóa học. Một số khóa học có những tiêu chuẩn tuyển sinh bổ sung thêm chuyên biệt theo khóa học.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vi"/>
              </w:rPr>
              <w:t>Đại học</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vi"/>
              </w:rPr>
              <w:t>Website</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vi"/>
              </w:rPr>
              <w:t>Curtin</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29" w:history="1">
              <w:r>
                <w:rPr>
                  <w:rStyle w:val="Hyperlink"/>
                  <w:lang w:val="vi"/>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vi"/>
              </w:rPr>
              <w:t>Edith Cowan</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0" w:history="1">
              <w:r>
                <w:rPr>
                  <w:rStyle w:val="Hyperlink"/>
                  <w:lang w:val="vi"/>
                </w:rPr>
                <w:t>https://www.ecu.edu.au/future-students/course-entry/creative-arts-portfolio-entry</w:t>
              </w:r>
            </w:hyperlink>
            <w:r>
              <w:rPr>
                <w:lang w:val="vi"/>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vi"/>
              </w:rPr>
              <w:t>Murdoch</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1" w:history="1">
              <w:r>
                <w:rPr>
                  <w:rStyle w:val="Hyperlink"/>
                  <w:lang w:val="vi"/>
                </w:rPr>
                <w:t>https://www.murdoch.edu.au/study/pathways-to-uni/enabling-pathways/experience-based-entry/media-portfolio</w:t>
              </w:r>
            </w:hyperlink>
            <w:r>
              <w:rPr>
                <w:lang w:val="vi"/>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vi"/>
        </w:rPr>
        <w:t>Con đường và hỗ trợ cho học sinh Thổ dân và người dân đảo Torres Strait</w:t>
      </w:r>
    </w:p>
    <w:p w14:paraId="5FF3D6A9" w14:textId="596FCCEB" w:rsidR="00296F74" w:rsidRPr="00BE43AE" w:rsidRDefault="00296F74" w:rsidP="00F70FDB">
      <w:pPr>
        <w:spacing w:after="120" w:line="259" w:lineRule="auto"/>
        <w:rPr>
          <w:rFonts w:eastAsia="Arial"/>
          <w:b/>
          <w:bCs/>
          <w:spacing w:val="-2"/>
        </w:rPr>
      </w:pPr>
      <w:r>
        <w:rPr>
          <w:szCs w:val="22"/>
          <w:lang w:val="vi"/>
        </w:rPr>
        <w:t xml:space="preserve">Các đại học có những con đường hỗ trợ chuyên biệt được thiết kế riêng cho sinh viên tiềm năng gốc Thổ dân và người dân đảo Torres Strait, nhằm để giúp các cá nhân và cộng đồng của họ đạt được những tham vọng giáo dục.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vi"/>
              </w:rPr>
              <w:t>Đại học</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vi"/>
              </w:rPr>
              <w:t>Website</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vi"/>
              </w:rPr>
              <w:t>Curtin</w:t>
            </w:r>
          </w:p>
        </w:tc>
        <w:tc>
          <w:tcPr>
            <w:tcW w:w="7512" w:type="dxa"/>
            <w:vAlign w:val="center"/>
          </w:tcPr>
          <w:p w14:paraId="37C528B7" w14:textId="77777777" w:rsidR="00773BC6" w:rsidRDefault="00FD5DE5"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shd w:val="clear" w:color="auto" w:fill="FFFFFF"/>
                  <w:lang w:val="vi"/>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vi"/>
              </w:rPr>
              <w:t>Edith Cowan</w:t>
            </w:r>
          </w:p>
        </w:tc>
        <w:tc>
          <w:tcPr>
            <w:tcW w:w="7512" w:type="dxa"/>
            <w:vAlign w:val="center"/>
          </w:tcPr>
          <w:p w14:paraId="1D45056B" w14:textId="77777777" w:rsidR="00773BC6" w:rsidRPr="005904BE"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3" w:history="1">
              <w:r>
                <w:rPr>
                  <w:rStyle w:val="Hyperlink"/>
                  <w:lang w:val="vi"/>
                </w:rPr>
                <w:t>https://www.ecu.edu.au/degrees/aboriginal-and-or-torres-strait-islanders</w:t>
              </w:r>
            </w:hyperlink>
            <w:r>
              <w:rPr>
                <w:lang w:val="vi"/>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vi"/>
              </w:rP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vi"/>
              </w:rP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4" w:history="1">
              <w:r>
                <w:rPr>
                  <w:rStyle w:val="Hyperlink"/>
                  <w:lang w:val="vi"/>
                </w:rPr>
                <w:t>https://www.murdoch.edu.au/course/Enabling/N1077</w:t>
              </w:r>
            </w:hyperlink>
            <w:r>
              <w:rPr>
                <w:lang w:val="vi"/>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vi"/>
              </w:rPr>
              <w:t>Đại học Notre Dame</w:t>
            </w:r>
          </w:p>
        </w:tc>
        <w:tc>
          <w:tcPr>
            <w:tcW w:w="7512" w:type="dxa"/>
            <w:vAlign w:val="center"/>
          </w:tcPr>
          <w:p w14:paraId="0D6C8772" w14:textId="77777777" w:rsidR="00773BC6" w:rsidRPr="003E1590"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5" w:history="1">
              <w:r>
                <w:rPr>
                  <w:rStyle w:val="Hyperlink"/>
                  <w:lang w:val="vi"/>
                </w:rPr>
                <w:t>https://www.notredame.edu.au/students/support/aboriginal-and-torres-strait-islander-support</w:t>
              </w:r>
            </w:hyperlink>
            <w:r>
              <w:rPr>
                <w:lang w:val="vi"/>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vi"/>
              </w:rPr>
              <w:t>Đại học Tây Úc</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6">
              <w:r>
                <w:rPr>
                  <w:color w:val="0462C1"/>
                  <w:u w:val="single"/>
                  <w:lang w:val="vi"/>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vi"/>
        </w:rPr>
        <w:t>Chứng nhận Học tập Toàn cảnh Quốc tế (IBPLC)</w:t>
      </w:r>
    </w:p>
    <w:p w14:paraId="7B941B8F" w14:textId="74C95C10" w:rsidR="00266A20" w:rsidRPr="005878AF" w:rsidRDefault="00203DE5" w:rsidP="00203DE5">
      <w:pPr>
        <w:rPr>
          <w:szCs w:val="22"/>
          <w:lang w:val="vi"/>
        </w:rPr>
      </w:pPr>
      <w:r>
        <w:rPr>
          <w:lang w:val="vi"/>
        </w:rPr>
        <w:t>IBPLC là một mẫu cá thể hóa đánh giá năm cuối đo lường và nắm bắt đa dạng về năng lực, kinh nghiệm và phẩm chất. Nhiều trường đại học Úc dành chỗ cho các học sinh tốt nghiệp có chứng nhận này.</w:t>
      </w:r>
    </w:p>
    <w:p w14:paraId="592AB710" w14:textId="23029E3C" w:rsidR="00203DE5" w:rsidRPr="005878AF" w:rsidRDefault="00266A20" w:rsidP="00037E99">
      <w:pPr>
        <w:spacing w:before="120"/>
        <w:rPr>
          <w:color w:val="313131"/>
          <w:szCs w:val="22"/>
          <w:lang w:val="vi"/>
        </w:rPr>
      </w:pPr>
      <w:hyperlink r:id="rId37" w:history="1">
        <w:r>
          <w:rPr>
            <w:rStyle w:val="Hyperlink"/>
            <w:szCs w:val="22"/>
            <w:lang w:val="vi"/>
          </w:rPr>
          <w:t>https://www.bigpicture.org.au/what-international-big-picture-learning-credential</w:t>
        </w:r>
      </w:hyperlink>
    </w:p>
    <w:p w14:paraId="4F5B209D" w14:textId="77777777" w:rsidR="00F321C6" w:rsidRPr="005878AF" w:rsidRDefault="00F321C6" w:rsidP="00203DE5">
      <w:pPr>
        <w:rPr>
          <w:lang w:val="vi"/>
        </w:rPr>
      </w:pPr>
    </w:p>
    <w:p w14:paraId="67EBEE83" w14:textId="77777777" w:rsidR="00121C4C" w:rsidRPr="005878AF" w:rsidRDefault="00121C4C" w:rsidP="00194F5F">
      <w:pPr>
        <w:widowControl w:val="0"/>
        <w:autoSpaceDE w:val="0"/>
        <w:autoSpaceDN w:val="0"/>
        <w:spacing w:before="240" w:after="60" w:line="268" w:lineRule="exact"/>
        <w:rPr>
          <w:rFonts w:eastAsia="Arial"/>
          <w:b/>
          <w:bCs/>
          <w:sz w:val="24"/>
          <w:szCs w:val="24"/>
          <w:lang w:val="vi"/>
        </w:rPr>
        <w:sectPr w:rsidR="00121C4C" w:rsidRPr="005878AF" w:rsidSect="00AC77DE">
          <w:pgSz w:w="11906" w:h="16838"/>
          <w:pgMar w:top="709" w:right="1247" w:bottom="709" w:left="1247" w:header="680" w:footer="567" w:gutter="0"/>
          <w:cols w:space="708"/>
          <w:titlePg/>
          <w:docGrid w:linePitch="360"/>
        </w:sectPr>
      </w:pPr>
    </w:p>
    <w:p w14:paraId="76111928" w14:textId="77777777" w:rsidR="00121C4C" w:rsidRPr="005878AF" w:rsidRDefault="00121C4C" w:rsidP="00F70FDB">
      <w:pPr>
        <w:spacing w:before="120" w:after="60"/>
        <w:rPr>
          <w:b/>
          <w:bCs/>
          <w:sz w:val="24"/>
          <w:szCs w:val="24"/>
          <w:lang w:val="vi"/>
        </w:rPr>
      </w:pPr>
    </w:p>
    <w:p w14:paraId="38DC6FD0" w14:textId="1A92353D" w:rsidR="00D33C0E" w:rsidRPr="005878AF" w:rsidRDefault="00D33C0E" w:rsidP="00C407A9">
      <w:pPr>
        <w:spacing w:after="60"/>
        <w:rPr>
          <w:b/>
          <w:bCs/>
          <w:sz w:val="24"/>
          <w:szCs w:val="24"/>
          <w:lang w:val="vi"/>
        </w:rPr>
      </w:pPr>
      <w:r>
        <w:rPr>
          <w:b/>
          <w:bCs/>
          <w:sz w:val="24"/>
          <w:szCs w:val="24"/>
          <w:lang w:val="vi"/>
        </w:rPr>
        <w:t>Tuyển sinh dựa trên trải nghiệm</w:t>
      </w:r>
    </w:p>
    <w:p w14:paraId="25E6D505" w14:textId="485258A7" w:rsidR="00F321C6" w:rsidRPr="005878AF" w:rsidRDefault="00D33C0E" w:rsidP="004C3145">
      <w:pPr>
        <w:spacing w:after="120"/>
        <w:rPr>
          <w:lang w:val="vi"/>
        </w:rPr>
      </w:pPr>
      <w:r>
        <w:rPr>
          <w:lang w:val="vi"/>
        </w:rPr>
        <w:t>Học sinh có thể được xét tuyển vào khóa cử nhân thông qua đánh giá của trường đại học về khả năng thành công của họ ở giáo dục cao hơn dựa trên bằng chứng được cung cấp.</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vi"/>
              </w:rPr>
              <w:t>Đại học</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vi"/>
              </w:rPr>
              <w:t>Website</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vi"/>
              </w:rPr>
              <w:t>Edith Cowan</w:t>
            </w:r>
          </w:p>
        </w:tc>
        <w:tc>
          <w:tcPr>
            <w:tcW w:w="7696" w:type="dxa"/>
          </w:tcPr>
          <w:p w14:paraId="3A7A3ECB" w14:textId="39A54CF5" w:rsidR="00D33C0E" w:rsidRPr="00FD22D7"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38" w:history="1">
              <w:r>
                <w:rPr>
                  <w:rStyle w:val="Hyperlink"/>
                  <w:lang w:val="vi"/>
                </w:rPr>
                <w:t>https://www.ecu.edu.au/future-students/course-entry/experience-based-entry-scheme</w:t>
              </w:r>
            </w:hyperlink>
            <w:r>
              <w:rPr>
                <w:rStyle w:val="Hyperlink"/>
                <w:lang w:val="vi"/>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vi"/>
              </w:rPr>
              <w:t>Murdoch</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39" w:history="1">
              <w:r>
                <w:rPr>
                  <w:rStyle w:val="Hyperlink"/>
                  <w:lang w:val="vi"/>
                </w:rPr>
                <w:t>https://www.murdoch.edu.au/study/pathways-to-uni/enabling-pathways/experience-based-entry</w:t>
              </w:r>
            </w:hyperlink>
            <w:r>
              <w:rPr>
                <w:lang w:val="vi"/>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vi"/>
              </w:rPr>
              <w:t>Đại học Notre Dame</w:t>
            </w:r>
          </w:p>
        </w:tc>
        <w:tc>
          <w:tcPr>
            <w:tcW w:w="7696" w:type="dxa"/>
            <w:shd w:val="clear" w:color="auto" w:fill="FFFFFF" w:themeFill="background1"/>
          </w:tcPr>
          <w:p w14:paraId="13FC4A1E" w14:textId="08D00B8E" w:rsidR="004C7715" w:rsidRPr="00D33C0E"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0" w:history="1">
              <w:r>
                <w:rPr>
                  <w:rStyle w:val="Hyperlink"/>
                  <w:lang w:val="vi"/>
                </w:rPr>
                <w:t>https://www.notredame.edu.au/study/applications-and-admissions/pathways/other-entry-pathways</w:t>
              </w:r>
            </w:hyperlink>
            <w:r>
              <w:rPr>
                <w:lang w:val="vi"/>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vi"/>
              </w:rPr>
              <w:t>Đại học Tây Úc</w:t>
            </w:r>
          </w:p>
        </w:tc>
        <w:tc>
          <w:tcPr>
            <w:tcW w:w="7696" w:type="dxa"/>
          </w:tcPr>
          <w:p w14:paraId="2DB2CB61" w14:textId="37EAC98B" w:rsidR="001F1ECD" w:rsidRPr="009F3FC4" w:rsidRDefault="00FD5DE5"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1" w:history="1">
              <w:r>
                <w:rPr>
                  <w:rStyle w:val="Hyperlink"/>
                  <w:lang w:val="vi"/>
                </w:rPr>
                <w:t>https://www.uwa.edu.au/study/How-to-apply/Admission-entry-pathways/Experience-based-entry</w:t>
              </w:r>
            </w:hyperlink>
            <w:r>
              <w:rPr>
                <w:color w:val="0462C1"/>
                <w:u w:val="single"/>
                <w:lang w:val="vi"/>
              </w:rPr>
              <w:t xml:space="preserve">  </w:t>
            </w:r>
          </w:p>
        </w:tc>
      </w:tr>
    </w:tbl>
    <w:p w14:paraId="44B07488" w14:textId="77777777" w:rsidR="00C407A9" w:rsidRDefault="00C407A9" w:rsidP="00C407A9"/>
    <w:p w14:paraId="40735AC0" w14:textId="77777777" w:rsidR="00C407A9" w:rsidRDefault="00C407A9" w:rsidP="00C407A9"/>
    <w:p w14:paraId="6F8C3422" w14:textId="25B67EB8" w:rsidR="00ED101F" w:rsidRPr="00BE43AE" w:rsidRDefault="00ED101F" w:rsidP="00F70FDB">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vi"/>
        </w:rPr>
        <w:t>Trung tâm Dịch vụ Đại học (TISC)</w:t>
      </w:r>
    </w:p>
    <w:p w14:paraId="4690CE99" w14:textId="665E54C7" w:rsidR="00530AA7" w:rsidRDefault="00530AA7" w:rsidP="000627DD">
      <w:pPr>
        <w:rPr>
          <w:rFonts w:eastAsia="Times New Roman"/>
          <w:szCs w:val="22"/>
          <w:shd w:val="clear" w:color="auto" w:fill="FFFFFF"/>
        </w:rPr>
      </w:pPr>
      <w:hyperlink r:id="rId42" w:history="1">
        <w:r>
          <w:rPr>
            <w:rStyle w:val="Hyperlink"/>
            <w:rFonts w:eastAsia="Times New Roman"/>
            <w:szCs w:val="22"/>
            <w:shd w:val="clear" w:color="auto" w:fill="FFFFFF"/>
            <w:lang w:val="vi"/>
          </w:rPr>
          <w:t>https://www.tisc.edu.au/static/home.tisc</w:t>
        </w:r>
      </w:hyperlink>
    </w:p>
    <w:p w14:paraId="477EF9D1" w14:textId="77777777" w:rsidR="00530AA7" w:rsidRDefault="00530AA7" w:rsidP="000627DD">
      <w:pPr>
        <w:rPr>
          <w:rFonts w:eastAsia="Times New Roman"/>
          <w:szCs w:val="22"/>
          <w:shd w:val="clear" w:color="auto" w:fill="FFFFFF"/>
        </w:rPr>
      </w:pPr>
    </w:p>
    <w:p w14:paraId="056665D5" w14:textId="440679E4" w:rsidR="00532B84" w:rsidRPr="00BE43AE" w:rsidRDefault="00532B84" w:rsidP="000627DD">
      <w:pPr>
        <w:rPr>
          <w:rFonts w:eastAsia="Times New Roman"/>
          <w:szCs w:val="22"/>
        </w:rPr>
      </w:pPr>
      <w:r>
        <w:rPr>
          <w:rFonts w:eastAsia="Times New Roman"/>
          <w:szCs w:val="22"/>
          <w:shd w:val="clear" w:color="auto" w:fill="FFFFFF"/>
          <w:lang w:val="vi"/>
        </w:rPr>
        <w:t>TISC cung cấp các dịch vụ sau:</w:t>
      </w:r>
    </w:p>
    <w:p w14:paraId="445D4E35" w14:textId="1C6D8951" w:rsidR="00532B84" w:rsidRPr="00BE43AE" w:rsidRDefault="00532B84" w:rsidP="008358E7">
      <w:pPr>
        <w:numPr>
          <w:ilvl w:val="0"/>
          <w:numId w:val="26"/>
        </w:numPr>
        <w:ind w:left="723"/>
        <w:rPr>
          <w:rFonts w:eastAsia="Times New Roman"/>
          <w:szCs w:val="22"/>
        </w:rPr>
      </w:pPr>
      <w:r>
        <w:rPr>
          <w:rFonts w:eastAsia="Times New Roman"/>
          <w:szCs w:val="22"/>
          <w:lang w:val="vi"/>
        </w:rPr>
        <w:t xml:space="preserve">Thụ lý </w:t>
      </w:r>
      <w:hyperlink r:id="rId43" w:history="1">
        <w:r>
          <w:rPr>
            <w:rStyle w:val="Hyperlink"/>
            <w:rFonts w:eastAsia="Times New Roman"/>
            <w:szCs w:val="22"/>
            <w:shd w:val="clear" w:color="auto" w:fill="FFFFFF"/>
            <w:lang w:val="vi"/>
          </w:rPr>
          <w:t>các đơn xin</w:t>
        </w:r>
      </w:hyperlink>
      <w:r>
        <w:rPr>
          <w:rStyle w:val="Hyperlink"/>
          <w:rFonts w:eastAsia="Times New Roman"/>
          <w:szCs w:val="22"/>
          <w:shd w:val="clear" w:color="auto" w:fill="FFFFFF"/>
          <w:lang w:val="vi"/>
        </w:rPr>
        <w:t xml:space="preserve"> </w:t>
      </w:r>
      <w:r>
        <w:rPr>
          <w:rFonts w:eastAsia="Times New Roman"/>
          <w:szCs w:val="22"/>
          <w:lang w:val="vi"/>
        </w:rPr>
        <w:t>nhập học khóa cử nhân tại các trường đại học nêu trên.</w:t>
      </w:r>
    </w:p>
    <w:p w14:paraId="4A8E1913" w14:textId="77777777" w:rsidR="00532B84" w:rsidRPr="00BE43AE" w:rsidRDefault="00532B84" w:rsidP="008358E7">
      <w:pPr>
        <w:numPr>
          <w:ilvl w:val="0"/>
          <w:numId w:val="26"/>
        </w:numPr>
        <w:ind w:left="723"/>
        <w:rPr>
          <w:rFonts w:eastAsia="Times New Roman"/>
          <w:szCs w:val="22"/>
        </w:rPr>
      </w:pPr>
      <w:r>
        <w:rPr>
          <w:rFonts w:eastAsia="Times New Roman"/>
          <w:szCs w:val="22"/>
          <w:lang w:val="vi"/>
        </w:rPr>
        <w:t>Thực hiện Thi tuyển Đại học Đặc biệt (</w:t>
      </w:r>
      <w:hyperlink r:id="rId44" w:history="1">
        <w:r>
          <w:rPr>
            <w:rStyle w:val="Hyperlink"/>
            <w:rFonts w:eastAsia="Times New Roman"/>
            <w:szCs w:val="22"/>
            <w:shd w:val="clear" w:color="auto" w:fill="FFFFFF"/>
            <w:lang w:val="vi"/>
          </w:rPr>
          <w:t>STAT</w:t>
        </w:r>
      </w:hyperlink>
      <w:r>
        <w:rPr>
          <w:rFonts w:eastAsia="Times New Roman"/>
          <w:szCs w:val="22"/>
          <w:lang w:val="vi"/>
        </w:rPr>
        <w:t>).</w:t>
      </w:r>
    </w:p>
    <w:p w14:paraId="4864D53A" w14:textId="4D48BA7C" w:rsidR="00532B84" w:rsidRPr="00BE43AE" w:rsidRDefault="00532B84" w:rsidP="008358E7">
      <w:pPr>
        <w:numPr>
          <w:ilvl w:val="0"/>
          <w:numId w:val="26"/>
        </w:numPr>
        <w:ind w:left="723"/>
        <w:rPr>
          <w:rFonts w:eastAsia="Times New Roman"/>
          <w:szCs w:val="22"/>
        </w:rPr>
      </w:pPr>
      <w:r>
        <w:rPr>
          <w:rFonts w:eastAsia="Times New Roman"/>
          <w:szCs w:val="22"/>
          <w:lang w:val="vi"/>
        </w:rPr>
        <w:t>Triển khai Chương trình Nền tảng của các Đại học Tây Úc (</w:t>
      </w:r>
      <w:hyperlink r:id="rId45" w:history="1">
        <w:r>
          <w:rPr>
            <w:rStyle w:val="Hyperlink"/>
            <w:rFonts w:eastAsia="Times New Roman"/>
            <w:szCs w:val="22"/>
            <w:shd w:val="clear" w:color="auto" w:fill="FFFFFF"/>
            <w:lang w:val="vi"/>
          </w:rPr>
          <w:t>WAUFP</w:t>
        </w:r>
      </w:hyperlink>
      <w:r>
        <w:rPr>
          <w:rFonts w:eastAsia="Times New Roman"/>
          <w:szCs w:val="22"/>
          <w:lang w:val="vi"/>
        </w:rPr>
        <w:t>).</w:t>
      </w:r>
    </w:p>
    <w:p w14:paraId="5F54FE6A" w14:textId="3E5D7BD4" w:rsidR="00532B84" w:rsidRPr="00BE43AE" w:rsidRDefault="00532B84" w:rsidP="008358E7">
      <w:pPr>
        <w:numPr>
          <w:ilvl w:val="0"/>
          <w:numId w:val="26"/>
        </w:numPr>
        <w:ind w:left="723"/>
        <w:rPr>
          <w:rFonts w:eastAsia="Times New Roman"/>
          <w:szCs w:val="22"/>
        </w:rPr>
      </w:pPr>
      <w:r>
        <w:rPr>
          <w:rFonts w:eastAsia="Times New Roman"/>
          <w:szCs w:val="22"/>
          <w:lang w:val="vi"/>
        </w:rPr>
        <w:t xml:space="preserve">Xuất bản </w:t>
      </w:r>
      <w:hyperlink r:id="rId46" w:history="1">
        <w:r>
          <w:rPr>
            <w:rStyle w:val="Hyperlink"/>
            <w:rFonts w:eastAsia="Times New Roman"/>
            <w:szCs w:val="22"/>
            <w:shd w:val="clear" w:color="auto" w:fill="FFFFFF"/>
            <w:lang w:val="vi"/>
          </w:rPr>
          <w:t>Thông tư Trường học</w:t>
        </w:r>
        <w:r>
          <w:rPr>
            <w:rStyle w:val="Hyperlink"/>
            <w:shd w:val="clear" w:color="auto" w:fill="FFFFFF"/>
            <w:lang w:val="vi"/>
          </w:rPr>
          <w:t xml:space="preserve"> định kỳ</w:t>
        </w:r>
      </w:hyperlink>
      <w:r>
        <w:rPr>
          <w:rFonts w:eastAsia="Times New Roman"/>
          <w:szCs w:val="22"/>
          <w:lang w:val="vi"/>
        </w:rPr>
        <w:t>.</w:t>
      </w:r>
    </w:p>
    <w:p w14:paraId="5AB11B5F" w14:textId="610B6290" w:rsidR="00532B84" w:rsidRPr="00BE43AE" w:rsidRDefault="00532B84" w:rsidP="008358E7">
      <w:pPr>
        <w:numPr>
          <w:ilvl w:val="0"/>
          <w:numId w:val="26"/>
        </w:numPr>
        <w:ind w:left="723"/>
        <w:rPr>
          <w:rFonts w:eastAsia="Times New Roman"/>
          <w:szCs w:val="22"/>
        </w:rPr>
      </w:pPr>
      <w:hyperlink r:id="rId47" w:history="1">
        <w:r>
          <w:rPr>
            <w:rStyle w:val="Hyperlink"/>
            <w:rFonts w:eastAsia="Times New Roman"/>
            <w:szCs w:val="22"/>
            <w:shd w:val="clear" w:color="auto" w:fill="FFFFFF"/>
            <w:lang w:val="vi"/>
          </w:rPr>
          <w:t>Phân độ</w:t>
        </w:r>
      </w:hyperlink>
      <w:r>
        <w:rPr>
          <w:rFonts w:eastAsia="Times New Roman"/>
          <w:szCs w:val="22"/>
          <w:lang w:val="vi"/>
        </w:rPr>
        <w:t xml:space="preserve"> kết quả WACE và tính toán điểm </w:t>
      </w:r>
      <w:hyperlink r:id="rId48" w:history="1">
        <w:r>
          <w:rPr>
            <w:rStyle w:val="Hyperlink"/>
            <w:rFonts w:eastAsia="Times New Roman"/>
            <w:szCs w:val="22"/>
            <w:shd w:val="clear" w:color="auto" w:fill="FFFFFF"/>
            <w:lang w:val="vi"/>
          </w:rPr>
          <w:t>ATARs</w:t>
        </w:r>
      </w:hyperlink>
      <w:r>
        <w:rPr>
          <w:rFonts w:eastAsia="Times New Roman"/>
          <w:szCs w:val="22"/>
          <w:lang w:val="vi"/>
        </w:rPr>
        <w:t xml:space="preserve"> cho học sinh ở Tây Úc.</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spacing w:line="252" w:lineRule="auto"/>
        <w:ind w:right="212"/>
        <w:rPr>
          <w:color w:val="000000"/>
          <w:spacing w:val="-4"/>
          <w:shd w:val="clear" w:color="auto" w:fill="FFFFFF"/>
        </w:rPr>
      </w:pPr>
      <w:r>
        <w:rPr>
          <w:color w:val="000000"/>
          <w:shd w:val="clear" w:color="auto" w:fill="FFFFFF"/>
          <w:lang w:val="vi"/>
        </w:rPr>
        <w:t>TISC cung cấp đa dạng nguồn lực mà quý vị có thể thấy hữu ích, bao gồm tập thông tin tuyển sinh đại học có sẵn mỗi năm với những yêu cầu và các lựa chọn con đường.</w:t>
      </w:r>
    </w:p>
    <w:p w14:paraId="1DDA540F" w14:textId="3B46F704" w:rsidR="006C4D37" w:rsidRDefault="00C54FA6" w:rsidP="000627DD">
      <w:pPr>
        <w:pStyle w:val="BodyText"/>
        <w:rPr>
          <w:rStyle w:val="Hyperlink"/>
          <w:spacing w:val="-4"/>
          <w:shd w:val="clear" w:color="auto" w:fill="FFFFFF"/>
        </w:rPr>
      </w:pPr>
      <w:hyperlink r:id="rId49" w:history="1">
        <w:r>
          <w:rPr>
            <w:rStyle w:val="Hyperlink"/>
            <w:shd w:val="clear" w:color="auto" w:fill="FFFFFF"/>
            <w:lang w:val="vi"/>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vi"/>
        </w:rPr>
        <w:t>Kế hoạch Tiếp cận Giáo dục</w:t>
      </w:r>
    </w:p>
    <w:p w14:paraId="29A5B781" w14:textId="77777777" w:rsidR="00194F5F" w:rsidRPr="005878AF" w:rsidRDefault="00194F5F" w:rsidP="00194F5F">
      <w:pPr>
        <w:widowControl w:val="0"/>
        <w:autoSpaceDE w:val="0"/>
        <w:autoSpaceDN w:val="0"/>
        <w:spacing w:line="268" w:lineRule="exact"/>
        <w:rPr>
          <w:rFonts w:eastAsia="Arial"/>
          <w:b/>
          <w:bCs/>
          <w:spacing w:val="-5"/>
          <w:szCs w:val="22"/>
          <w:lang w:val="vi"/>
        </w:rPr>
      </w:pPr>
      <w:r>
        <w:rPr>
          <w:szCs w:val="22"/>
          <w:shd w:val="clear" w:color="auto" w:fill="FFFFFF"/>
          <w:lang w:val="vi"/>
        </w:rPr>
        <w:t>Kế hoạch Tiếp cận Giáo dục (EAS) nhằm vào những đương đơn muốn vào học cử nhân tại các trường đại học Tây Úc và gặp hoàn cảnh ngoại lệ trong thời gian học cấp 3, ảnh hưởng bất lợi đến học tập Lớp 11/12. Các em có thể nộp đơn xin xem xét đặc biệt, nếu được chấp thuận, có thể giúp các em vào được đại học.</w:t>
      </w:r>
    </w:p>
    <w:p w14:paraId="557D99D1" w14:textId="77777777" w:rsidR="00194F5F" w:rsidRPr="005878AF" w:rsidRDefault="00194F5F" w:rsidP="00194F5F">
      <w:pPr>
        <w:pStyle w:val="BodyText"/>
        <w:spacing w:before="120"/>
        <w:rPr>
          <w:shd w:val="clear" w:color="auto" w:fill="FFFFFF"/>
          <w:lang w:val="vi"/>
        </w:rPr>
      </w:pPr>
      <w:hyperlink r:id="rId50" w:history="1">
        <w:r>
          <w:rPr>
            <w:rStyle w:val="Hyperlink"/>
            <w:lang w:val="vi"/>
          </w:rPr>
          <w:t>https://tisc.edu.au/static/guide/eas.tisc</w:t>
        </w:r>
      </w:hyperlink>
      <w:r>
        <w:rPr>
          <w:lang w:val="vi"/>
        </w:rPr>
        <w:t xml:space="preserve"> </w:t>
      </w:r>
    </w:p>
    <w:p w14:paraId="16422965" w14:textId="77777777" w:rsidR="00194F5F" w:rsidRPr="005878AF" w:rsidRDefault="00194F5F" w:rsidP="000627DD">
      <w:pPr>
        <w:pStyle w:val="BodyText"/>
        <w:rPr>
          <w:lang w:val="vi"/>
        </w:rPr>
      </w:pPr>
    </w:p>
    <w:sectPr w:rsidR="00194F5F" w:rsidRPr="005878A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vi"/>
      </w:rPr>
      <w:tab/>
    </w:r>
    <w:r>
      <w:rPr>
        <w:lang w:val="vi"/>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D24/0269520</w:t>
        </w:r>
      </w:sdtContent>
    </w:sdt>
  </w:p>
  <w:p w14:paraId="3CC1B870" w14:textId="77A9C2A9" w:rsidR="000F6D5A" w:rsidRPr="008626AA" w:rsidRDefault="008626AA" w:rsidP="004C3145">
    <w:pPr>
      <w:pStyle w:val="Footer"/>
      <w:tabs>
        <w:tab w:val="right" w:pos="9638"/>
      </w:tabs>
    </w:pPr>
    <w:r>
      <w:rPr>
        <w:sz w:val="18"/>
        <w:szCs w:val="14"/>
        <w:lang w:val="vi"/>
      </w:rPr>
      <w:tab/>
    </w:r>
    <w:r>
      <w:rPr>
        <w:sz w:val="18"/>
        <w:szCs w:val="14"/>
        <w:lang w:val="vi"/>
      </w:rPr>
      <w:fldChar w:fldCharType="begin"/>
    </w:r>
    <w:r>
      <w:rPr>
        <w:sz w:val="18"/>
        <w:szCs w:val="14"/>
        <w:lang w:val="vi"/>
      </w:rPr>
      <w:instrText xml:space="preserve"> PAGE   \* MERGEFORMAT </w:instrText>
    </w:r>
    <w:r>
      <w:rPr>
        <w:sz w:val="18"/>
        <w:szCs w:val="14"/>
        <w:lang w:val="vi"/>
      </w:rPr>
      <w:fldChar w:fldCharType="separate"/>
    </w:r>
    <w:r>
      <w:rPr>
        <w:noProof/>
        <w:sz w:val="18"/>
        <w:szCs w:val="14"/>
        <w:lang w:val="vi"/>
      </w:rPr>
      <w:t>2</w:t>
    </w:r>
    <w:r>
      <w:rPr>
        <w:sz w:val="18"/>
        <w:szCs w:val="14"/>
        <w:lang w:val="vi"/>
      </w:rPr>
      <w:fldChar w:fldCharType="end"/>
    </w:r>
    <w:r>
      <w:rPr>
        <w:sz w:val="18"/>
        <w:szCs w:val="14"/>
        <w:lang w:val="vi"/>
      </w:rPr>
      <w:tab/>
      <w:t>March 2024</w:t>
    </w:r>
    <w:r>
      <w:rPr>
        <w:lang w:val="v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vi"/>
      </w:rPr>
      <w:tab/>
    </w:r>
    <w:r>
      <w:rPr>
        <w:lang w:val="v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D24/0269520</w:t>
        </w:r>
      </w:sdtContent>
    </w:sdt>
  </w:p>
  <w:p w14:paraId="0E2C46A7" w14:textId="46F53C80" w:rsidR="00AF71AF" w:rsidRPr="00F26894" w:rsidRDefault="00440775" w:rsidP="001E1668">
    <w:pPr>
      <w:pStyle w:val="Footer"/>
      <w:rPr>
        <w:sz w:val="18"/>
        <w:szCs w:val="14"/>
      </w:rPr>
    </w:pPr>
    <w:r>
      <w:rPr>
        <w:sz w:val="18"/>
        <w:szCs w:val="14"/>
        <w:lang w:val="vi"/>
      </w:rPr>
      <w:tab/>
    </w:r>
    <w:r>
      <w:rPr>
        <w:sz w:val="18"/>
        <w:szCs w:val="14"/>
        <w:lang w:val="vi"/>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vi"/>
      </w:rPr>
      <w:tab/>
    </w:r>
    <w:r>
      <w:rPr>
        <w:lang w:val="vi"/>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D24/0269520</w:t>
        </w:r>
      </w:sdtContent>
    </w:sdt>
  </w:p>
  <w:p w14:paraId="2F1BA65F" w14:textId="77777777" w:rsidR="00274C17" w:rsidRDefault="00274C17" w:rsidP="00274C17">
    <w:pPr>
      <w:pStyle w:val="Footer"/>
      <w:rPr>
        <w:sz w:val="18"/>
        <w:szCs w:val="14"/>
      </w:rPr>
    </w:pPr>
    <w:r>
      <w:rPr>
        <w:sz w:val="18"/>
        <w:szCs w:val="14"/>
        <w:lang w:val="vi"/>
      </w:rPr>
      <w:tab/>
    </w:r>
    <w:r>
      <w:rPr>
        <w:sz w:val="18"/>
        <w:szCs w:val="14"/>
        <w:lang w:val="vi"/>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vi"/>
          </w:rPr>
          <w:fldChar w:fldCharType="begin"/>
        </w:r>
        <w:r>
          <w:rPr>
            <w:lang w:val="vi"/>
          </w:rPr>
          <w:instrText xml:space="preserve"> PAGE   \* MERGEFORMAT </w:instrText>
        </w:r>
        <w:r>
          <w:rPr>
            <w:lang w:val="vi"/>
          </w:rPr>
          <w:fldChar w:fldCharType="separate"/>
        </w:r>
        <w:r>
          <w:rPr>
            <w:noProof/>
            <w:lang w:val="vi"/>
          </w:rPr>
          <w:t>2</w:t>
        </w:r>
        <w:r>
          <w:rPr>
            <w:noProof/>
            <w:lang w:val="v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v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9E54DE1" w:rsidR="00916AF7" w:rsidRDefault="005878AF" w:rsidP="00127DAD">
    <w:pPr>
      <w:pStyle w:val="Header"/>
    </w:pPr>
    <w:r>
      <w:rPr>
        <w:noProof/>
      </w:rPr>
      <mc:AlternateContent>
        <mc:Choice Requires="wps">
          <w:drawing>
            <wp:anchor distT="45720" distB="45720" distL="114300" distR="114300" simplePos="0" relativeHeight="251660291" behindDoc="0" locked="0" layoutInCell="1" allowOverlap="1" wp14:anchorId="5CE9778B" wp14:editId="0DF3227D">
              <wp:simplePos x="0" y="0"/>
              <wp:positionH relativeFrom="column">
                <wp:posOffset>5856605</wp:posOffset>
              </wp:positionH>
              <wp:positionV relativeFrom="paragraph">
                <wp:posOffset>-117475</wp:posOffset>
              </wp:positionV>
              <wp:extent cx="8382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noFill/>
                      <a:ln w="9525">
                        <a:noFill/>
                        <a:miter lim="800000"/>
                        <a:headEnd/>
                        <a:tailEnd/>
                      </a:ln>
                    </wps:spPr>
                    <wps:txbx>
                      <w:txbxContent>
                        <w:p w14:paraId="207270C0" w14:textId="1D96EF61" w:rsidR="005878AF" w:rsidRPr="005878AF" w:rsidRDefault="005878AF">
                          <w:pPr>
                            <w:rPr>
                              <w:color w:val="404040" w:themeColor="text1" w:themeTint="BF"/>
                              <w:sz w:val="18"/>
                              <w:szCs w:val="16"/>
                            </w:rPr>
                          </w:pPr>
                          <w:r w:rsidRPr="005878AF">
                            <w:rPr>
                              <w:color w:val="404040" w:themeColor="text1" w:themeTint="BF"/>
                              <w:sz w:val="18"/>
                              <w:szCs w:val="16"/>
                            </w:rPr>
                            <w:t>Vietnamese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E9778B" id="_x0000_t202" coordsize="21600,21600" o:spt="202" path="m,l,21600r21600,l21600,xe">
              <v:stroke joinstyle="miter"/>
              <v:path gradientshapeok="t" o:connecttype="rect"/>
            </v:shapetype>
            <v:shape id="Text Box 2" o:spid="_x0000_s1026" type="#_x0000_t202" style="position:absolute;margin-left:461.15pt;margin-top:-9.25pt;width:66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" filled="f" stroked="f">
              <v:textbox style="mso-fit-shape-to-text:t">
                <w:txbxContent>
                  <w:p w14:paraId="207270C0" w14:textId="1D96EF61" w:rsidR="005878AF" w:rsidRPr="005878AF" w:rsidRDefault="005878AF">
                    <w:pPr>
                      <w:rPr>
                        <w:color w:val="404040" w:themeColor="text1" w:themeTint="BF"/>
                        <w:sz w:val="18"/>
                        <w:szCs w:val="16"/>
                      </w:rPr>
                    </w:pPr>
                    <w:r w:rsidRPr="005878AF">
                      <w:rPr>
                        <w:color w:val="404040" w:themeColor="text1" w:themeTint="BF"/>
                        <w:sz w:val="18"/>
                        <w:szCs w:val="16"/>
                      </w:rPr>
                      <w:t>Vietnamese</w:t>
                    </w:r>
                  </w:p>
                </w:txbxContent>
              </v:textbox>
              <w10:wrap type="square"/>
            </v:shape>
          </w:pict>
        </mc:Fallback>
      </mc:AlternateContent>
    </w:r>
    <w:r w:rsidR="00DD5BF0">
      <w:rPr>
        <w:noProof/>
        <w:lang w:val="vi"/>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v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12F4A948" w:rsidR="00037E99" w:rsidRDefault="00037E99" w:rsidP="00127DAD">
    <w:pPr>
      <w:pStyle w:val="Header"/>
    </w:pPr>
    <w:r>
      <w:rPr>
        <w:noProof/>
        <w:lang w:val="vi"/>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196C"/>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43E"/>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878AF"/>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murdoch.edu.au/study/pathways-to-uni/enabling-pathways/experience-based-entry"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murdoch.edu.au/course/Enabling/N1077" TargetMode="External"/><Relationship Id="rId42" Type="http://schemas.openxmlformats.org/officeDocument/2006/relationships/hyperlink" Target="https://www.tisc.edu.au/static/home.tisc" TargetMode="External"/><Relationship Id="rId47" Type="http://schemas.openxmlformats.org/officeDocument/2006/relationships/hyperlink" Target="https://www.tisc.edu.au/static/statistics/scaling/scaling-index.tisc" TargetMode="External"/><Relationship Id="rId50" Type="http://schemas.openxmlformats.org/officeDocument/2006/relationships/hyperlink" Target="https://tisc.edu.au/static/guide/ea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study.curtin.edu.au/applying/pathways/portfolio-entry"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karda.curtin.edu.au/study/enabling-courses" TargetMode="External"/><Relationship Id="rId37" Type="http://schemas.openxmlformats.org/officeDocument/2006/relationships/hyperlink" Target="https://www.bigpicture.org.au/what-international-big-picture-learning-credential" TargetMode="External"/><Relationship Id="rId40" Type="http://schemas.openxmlformats.org/officeDocument/2006/relationships/hyperlink" Target="https://www.notredame.edu.au/study/applications-and-admissions/pathways/other-entry-pathways" TargetMode="External"/><Relationship Id="rId45" Type="http://schemas.openxmlformats.org/officeDocument/2006/relationships/hyperlink" Target="https://www.tisc.edu.au/static/guide/waufp.tisc" TargetMode="External"/><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www.murdoch.edu.au/study/pathways-to-uni/enabling-pathways/experience-based-entry/media-portfolio" TargetMode="External"/><Relationship Id="rId44" Type="http://schemas.openxmlformats.org/officeDocument/2006/relationships/hyperlink" Target="https://www.tisc.edu.au/static/guide/stat.tisc" TargetMode="External"/><Relationship Id="rId52"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eader" Target="header3.xml"/><Relationship Id="rId30" Type="http://schemas.openxmlformats.org/officeDocument/2006/relationships/hyperlink" Target="https://www.ecu.edu.au/future-students/course-entry/creative-arts-portfolio-entry" TargetMode="External"/><Relationship Id="rId35" Type="http://schemas.openxmlformats.org/officeDocument/2006/relationships/hyperlink" Target="https://www.notredame.edu.au/students/support/aboriginal-and-torres-strait-islander-support" TargetMode="External"/><Relationship Id="rId43" Type="http://schemas.openxmlformats.org/officeDocument/2006/relationships/hyperlink" Target="https://www.tisc.edu.au/static/guide/university-admissions-index.tisc" TargetMode="External"/><Relationship Id="rId48" Type="http://schemas.openxmlformats.org/officeDocument/2006/relationships/hyperlink" Target="https://www.tisc.edu.au/static/guide/atar-about.tisc"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www.ecu.edu.au/degrees/aboriginal-and-or-torres-strait-islanders" TargetMode="External"/><Relationship Id="rId38" Type="http://schemas.openxmlformats.org/officeDocument/2006/relationships/hyperlink" Target="https://www.ecu.edu.au/future-students/course-entry/experience-based-entry-scheme" TargetMode="External"/><Relationship Id="rId46" Type="http://schemas.openxmlformats.org/officeDocument/2006/relationships/hyperlink" Target="https://www.tisc.edu.au/static/school-circular/circular-index.tisc" TargetMode="External"/><Relationship Id="rId20" Type="http://schemas.openxmlformats.org/officeDocument/2006/relationships/hyperlink" Target="https://www.notredame.edu.au/study/pathways/tertiary-pathway-program" TargetMode="External"/><Relationship Id="rId41" Type="http://schemas.openxmlformats.org/officeDocument/2006/relationships/hyperlink" Target="https://www.uwa.edu.au/study/How-to-apply/Admission-entry-pathways/Experience-based-entry"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footer" Target="footer3.xml"/><Relationship Id="rId36" Type="http://schemas.openxmlformats.org/officeDocument/2006/relationships/hyperlink" Target="https://www.uwa.edu.au/study/indigenous-study" TargetMode="External"/><Relationship Id="rId49" Type="http://schemas.openxmlformats.org/officeDocument/2006/relationships/hyperlink" Target="https://www.tisc.edu.au/static/resources.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53176E"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3F43C2"/>
    <w:rsid w:val="00462B0A"/>
    <w:rsid w:val="004B743E"/>
    <w:rsid w:val="004C60B5"/>
    <w:rsid w:val="004E331B"/>
    <w:rsid w:val="0053176E"/>
    <w:rsid w:val="00544DDE"/>
    <w:rsid w:val="00582EC3"/>
    <w:rsid w:val="00716BF8"/>
    <w:rsid w:val="007B717F"/>
    <w:rsid w:val="00991E2F"/>
    <w:rsid w:val="009E3A0A"/>
    <w:rsid w:val="00B732FB"/>
    <w:rsid w:val="00BB6A92"/>
    <w:rsid w:val="00BF438D"/>
    <w:rsid w:val="00D34692"/>
    <w:rsid w:val="00DC22A5"/>
    <w:rsid w:val="00E52115"/>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2.xml><?xml version="1.0" encoding="utf-8"?>
<ds:datastoreItem xmlns:ds="http://schemas.openxmlformats.org/officeDocument/2006/customXml" ds:itemID="{88E7D00B-C6C8-421F-9118-235E280F3D32}"/>
</file>

<file path=customXml/itemProps3.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9544</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77</cp:revision>
  <cp:lastPrinted>2023-03-10T01:43:00Z</cp:lastPrinted>
  <dcterms:created xsi:type="dcterms:W3CDTF">2024-04-19T03:01:00Z</dcterms:created>
  <dcterms:modified xsi:type="dcterms:W3CDTF">2025-04-09T05:55:00Z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