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A1F4" w14:textId="17C2035F" w:rsidR="001F4517" w:rsidRPr="005D6608" w:rsidRDefault="00D545EC" w:rsidP="003D1C51">
      <w:pPr>
        <w:pStyle w:val="Title"/>
        <w:rPr>
          <w:rFonts w:ascii="DengXian" w:eastAsia="DengXian" w:hAnsi="DengXian"/>
          <w:bCs/>
          <w:color w:val="7030A0"/>
        </w:rPr>
      </w:pPr>
      <w:bookmarkStart w:id="0" w:name="_Hlk103166844"/>
      <w:bookmarkStart w:id="1" w:name="_Toc84334888"/>
      <w:r w:rsidRPr="005D6608">
        <w:rPr>
          <w:rFonts w:ascii="DengXian" w:eastAsia="DengXian" w:hAnsi="DengXian"/>
          <w:b w:val="0"/>
          <w:color w:val="7030A0"/>
          <w:lang w:eastAsia="zh-CN"/>
        </w:rPr>
        <w:t>残障青少年的职业发展路径信息</w:t>
      </w:r>
    </w:p>
    <w:p w14:paraId="62D7A0A1" w14:textId="5FD4F97A" w:rsidR="00D85416" w:rsidRPr="005D6608" w:rsidRDefault="00D85416" w:rsidP="003D1C51">
      <w:pPr>
        <w:pStyle w:val="Title"/>
        <w:rPr>
          <w:rFonts w:ascii="DengXian" w:eastAsia="DengXian" w:hAnsi="DengXian"/>
          <w:color w:val="auto"/>
          <w:sz w:val="36"/>
          <w:szCs w:val="36"/>
        </w:rPr>
      </w:pPr>
      <w:r w:rsidRPr="005D6608">
        <w:rPr>
          <w:rFonts w:ascii="DengXian" w:eastAsia="DengXian" w:hAnsi="DengXian"/>
          <w:bCs/>
          <w:color w:val="auto"/>
          <w:sz w:val="36"/>
          <w:szCs w:val="36"/>
          <w:lang w:eastAsia="zh-CN"/>
        </w:rPr>
        <w:t>给家长和照护者的信息</w:t>
      </w:r>
    </w:p>
    <w:p w14:paraId="14DB6264" w14:textId="06405F7E" w:rsidR="002278A9" w:rsidRPr="005D6608" w:rsidRDefault="009E1946" w:rsidP="002278A9">
      <w:pPr>
        <w:rPr>
          <w:rFonts w:ascii="DengXian" w:eastAsia="DengXian" w:hAnsi="DengXian" w:cs="Calibri"/>
        </w:rPr>
      </w:pPr>
      <w:bookmarkStart w:id="2" w:name="_Toc88224274"/>
      <w:bookmarkEnd w:id="0"/>
      <w:bookmarkEnd w:id="1"/>
      <w:r w:rsidRPr="005D6608">
        <w:rPr>
          <w:rFonts w:ascii="DengXian" w:eastAsia="DengXian" w:hAnsi="DengXian"/>
          <w:lang w:eastAsia="zh-CN"/>
        </w:rPr>
        <w:t>我们鼓励所有青少年树立理想，积极参与具有挑战性的学习，并规划好未来发展路径，顺利过渡至高等教育、职业培训和／或有意义的工作。</w:t>
      </w:r>
    </w:p>
    <w:p w14:paraId="38F05D4F" w14:textId="77777777" w:rsidR="009E1946" w:rsidRPr="005D6608" w:rsidRDefault="009E1946" w:rsidP="00216809">
      <w:pPr>
        <w:rPr>
          <w:rFonts w:ascii="DengXian" w:eastAsia="DengXian" w:hAnsi="DengXian"/>
          <w:szCs w:val="22"/>
        </w:rPr>
      </w:pPr>
    </w:p>
    <w:p w14:paraId="745D3DF8" w14:textId="41AC460E" w:rsidR="00BE5AF1" w:rsidRPr="005D6608" w:rsidRDefault="00BE5AF1" w:rsidP="00216809">
      <w:pPr>
        <w:rPr>
          <w:rFonts w:ascii="DengXian" w:eastAsia="DengXian" w:hAnsi="DengXian"/>
          <w:color w:val="FF0000"/>
          <w:szCs w:val="22"/>
        </w:rPr>
      </w:pPr>
      <w:proofErr w:type="spellStart"/>
      <w:r w:rsidRPr="005D6608">
        <w:rPr>
          <w:rFonts w:ascii="DengXian" w:eastAsia="DengXian" w:hAnsi="DengXian"/>
          <w:szCs w:val="22"/>
          <w:lang w:eastAsia="zh-CN"/>
        </w:rPr>
        <w:t>在澳大利亚，每</w:t>
      </w:r>
      <w:proofErr w:type="spellEnd"/>
      <w:r w:rsidRPr="005D6608">
        <w:rPr>
          <w:rFonts w:ascii="DengXian" w:eastAsia="DengXian" w:hAnsi="DengXian"/>
          <w:szCs w:val="22"/>
          <w:lang w:eastAsia="zh-CN"/>
        </w:rPr>
        <w:t xml:space="preserve"> 6 </w:t>
      </w:r>
      <w:proofErr w:type="spellStart"/>
      <w:r w:rsidRPr="005D6608">
        <w:rPr>
          <w:rFonts w:ascii="DengXian" w:eastAsia="DengXian" w:hAnsi="DengXian"/>
          <w:szCs w:val="22"/>
          <w:lang w:eastAsia="zh-CN"/>
        </w:rPr>
        <w:t>人中就有</w:t>
      </w:r>
      <w:proofErr w:type="spellEnd"/>
      <w:r w:rsidRPr="005D6608">
        <w:rPr>
          <w:rFonts w:ascii="DengXian" w:eastAsia="DengXian" w:hAnsi="DengXian"/>
          <w:szCs w:val="22"/>
          <w:lang w:eastAsia="zh-CN"/>
        </w:rPr>
        <w:t xml:space="preserve"> 1 </w:t>
      </w:r>
      <w:proofErr w:type="spellStart"/>
      <w:r w:rsidRPr="005D6608">
        <w:rPr>
          <w:rFonts w:ascii="DengXian" w:eastAsia="DengXian" w:hAnsi="DengXian"/>
          <w:szCs w:val="22"/>
          <w:lang w:eastAsia="zh-CN"/>
        </w:rPr>
        <w:t>人患有残障。与所有员工一样，残障人士同样为职场带来多种技能、能力和资质，能从事大部分工作</w:t>
      </w:r>
      <w:proofErr w:type="spellEnd"/>
      <w:r w:rsidRPr="005D6608">
        <w:rPr>
          <w:rFonts w:ascii="DengXian" w:eastAsia="DengXian" w:hAnsi="DengXian"/>
          <w:szCs w:val="22"/>
          <w:lang w:eastAsia="zh-CN"/>
        </w:rPr>
        <w:t>。</w:t>
      </w:r>
    </w:p>
    <w:p w14:paraId="4E23C7E5" w14:textId="4DB873C8" w:rsidR="00701C81" w:rsidRPr="005D6608" w:rsidRDefault="00701C81" w:rsidP="00216809">
      <w:pPr>
        <w:rPr>
          <w:rFonts w:ascii="DengXian" w:eastAsia="DengXian" w:hAnsi="DengXian"/>
          <w:szCs w:val="22"/>
        </w:rPr>
      </w:pPr>
    </w:p>
    <w:p w14:paraId="4F57FFF3" w14:textId="77777777" w:rsidR="00DA4DB4" w:rsidRPr="005D6608" w:rsidRDefault="00701C81" w:rsidP="00701C81">
      <w:pPr>
        <w:ind w:right="218"/>
        <w:rPr>
          <w:rFonts w:ascii="DengXian" w:eastAsia="DengXian" w:hAnsi="DengXian"/>
          <w:szCs w:val="22"/>
        </w:rPr>
      </w:pPr>
      <w:r w:rsidRPr="005D6608">
        <w:rPr>
          <w:rFonts w:ascii="DengXian" w:eastAsia="DengXian" w:hAnsi="DengXian"/>
          <w:szCs w:val="22"/>
          <w:lang w:eastAsia="zh-CN"/>
        </w:rPr>
        <w:t>拥有一份工作可以拓展社交网络、提高生活水平、增强经济独立性与自我价值感。</w:t>
      </w:r>
    </w:p>
    <w:p w14:paraId="52E19F1E" w14:textId="77777777" w:rsidR="00DA4DB4" w:rsidRPr="005D6608" w:rsidRDefault="00DA4DB4" w:rsidP="00701C81">
      <w:pPr>
        <w:ind w:right="218"/>
        <w:rPr>
          <w:rFonts w:ascii="DengXian" w:eastAsia="DengXian" w:hAnsi="DengXian"/>
          <w:szCs w:val="22"/>
        </w:rPr>
      </w:pPr>
    </w:p>
    <w:p w14:paraId="2B83F997" w14:textId="6E9C292E" w:rsidR="00EC60BC" w:rsidRPr="005D6608" w:rsidRDefault="00DA4DB4" w:rsidP="00EC60BC">
      <w:pPr>
        <w:ind w:right="218"/>
        <w:rPr>
          <w:rFonts w:ascii="DengXian" w:eastAsia="DengXian" w:hAnsi="DengXian"/>
          <w:szCs w:val="22"/>
        </w:rPr>
      </w:pPr>
      <w:r w:rsidRPr="005D6608">
        <w:rPr>
          <w:rFonts w:ascii="DengXian" w:eastAsia="DengXian" w:hAnsi="DengXian"/>
          <w:szCs w:val="22"/>
          <w:lang w:eastAsia="zh-CN"/>
        </w:rPr>
        <w:t>大学、TAFE（职业技术教育学院）和其他培训机构提供一系列的学历和证书课程，同时按照个人需要提供相应支持，确保每个人都能平等参与并获得学习机会。</w:t>
      </w:r>
      <w:bookmarkEnd w:id="2"/>
    </w:p>
    <w:p w14:paraId="41CA5243" w14:textId="77777777" w:rsidR="00EC60BC" w:rsidRPr="005D6608" w:rsidRDefault="00EC60BC" w:rsidP="00EC60BC">
      <w:pPr>
        <w:ind w:right="218"/>
        <w:rPr>
          <w:rFonts w:ascii="DengXian" w:eastAsia="DengXian" w:hAnsi="DengXian"/>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3320"/>
        <w:gridCol w:w="5730"/>
      </w:tblGrid>
      <w:tr w:rsidR="00EC60BC" w:rsidRPr="005D660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5D6608" w:rsidRDefault="00EC60BC" w:rsidP="00EC60BC">
            <w:pPr>
              <w:widowControl w:val="0"/>
              <w:autoSpaceDE w:val="0"/>
              <w:autoSpaceDN w:val="0"/>
              <w:spacing w:before="5"/>
              <w:jc w:val="center"/>
              <w:rPr>
                <w:rFonts w:ascii="DengXian" w:eastAsia="DengXian" w:hAnsi="DengXian"/>
                <w:szCs w:val="22"/>
              </w:rPr>
            </w:pPr>
            <w:r w:rsidRPr="005D6608">
              <w:rPr>
                <w:rFonts w:ascii="DengXian" w:eastAsia="DengXian" w:hAnsi="DengXian"/>
                <w:szCs w:val="22"/>
                <w:lang w:eastAsia="zh-CN"/>
              </w:rPr>
              <w:t>资源</w:t>
            </w:r>
          </w:p>
        </w:tc>
      </w:tr>
      <w:tr w:rsidR="003B342E" w:rsidRPr="005D6608" w14:paraId="6EFA2EEC" w14:textId="77777777" w:rsidTr="005D6608">
        <w:trPr>
          <w:trHeight w:val="1589"/>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780EB007" w14:textId="54713C6E" w:rsidR="003B342E" w:rsidRPr="005D6608" w:rsidRDefault="00621E71" w:rsidP="00323F4C">
            <w:pPr>
              <w:widowControl w:val="0"/>
              <w:autoSpaceDE w:val="0"/>
              <w:autoSpaceDN w:val="0"/>
              <w:spacing w:before="5"/>
              <w:rPr>
                <w:rFonts w:ascii="DengXian" w:eastAsia="DengXian" w:hAnsi="DengXian"/>
                <w:szCs w:val="22"/>
              </w:rPr>
            </w:pPr>
            <w:proofErr w:type="spellStart"/>
            <w:r w:rsidRPr="005D6608">
              <w:rPr>
                <w:rFonts w:ascii="DengXian" w:eastAsia="DengXian" w:hAnsi="DengXian"/>
                <w:szCs w:val="22"/>
                <w:lang w:eastAsia="zh-CN"/>
              </w:rPr>
              <w:t>myfuture</w:t>
            </w:r>
            <w:proofErr w:type="spellEnd"/>
            <w:r w:rsidRPr="005D6608">
              <w:rPr>
                <w:rFonts w:ascii="DengXian" w:eastAsia="DengXian" w:hAnsi="DengXian"/>
                <w:szCs w:val="22"/>
                <w:lang w:eastAsia="zh-CN"/>
              </w:rPr>
              <w:t>（我的未来）</w:t>
            </w:r>
          </w:p>
        </w:tc>
        <w:tc>
          <w:tcPr>
            <w:tcW w:w="5730" w:type="dxa"/>
            <w:vAlign w:val="center"/>
          </w:tcPr>
          <w:p w14:paraId="1C83A6BF" w14:textId="6F90037C" w:rsidR="00377B26" w:rsidRPr="005D6608" w:rsidRDefault="00B01078" w:rsidP="00F161EB">
            <w:pPr>
              <w:cnfStyle w:val="000000000000" w:firstRow="0" w:lastRow="0" w:firstColumn="0" w:lastColumn="0" w:oddVBand="0" w:evenVBand="0" w:oddHBand="0" w:evenHBand="0" w:firstRowFirstColumn="0" w:firstRowLastColumn="0" w:lastRowFirstColumn="0" w:lastRowLastColumn="0"/>
              <w:rPr>
                <w:rFonts w:ascii="DengXian" w:eastAsia="DengXian" w:hAnsi="DengXian"/>
                <w:color w:val="374258"/>
                <w:szCs w:val="22"/>
                <w:shd w:val="clear" w:color="auto" w:fill="FFFFFF"/>
              </w:rPr>
            </w:pPr>
            <w:proofErr w:type="spellStart"/>
            <w:r w:rsidRPr="005D6608">
              <w:rPr>
                <w:rFonts w:ascii="DengXian" w:eastAsia="DengXian" w:hAnsi="DengXian"/>
                <w:color w:val="374258"/>
                <w:szCs w:val="22"/>
                <w:shd w:val="clear" w:color="auto" w:fill="FFFFFF"/>
                <w:lang w:eastAsia="zh-CN"/>
              </w:rPr>
              <w:t>myfuture</w:t>
            </w:r>
            <w:proofErr w:type="spellEnd"/>
            <w:r w:rsidRPr="005D6608">
              <w:rPr>
                <w:rFonts w:ascii="DengXian" w:eastAsia="DengXian" w:hAnsi="DengXian"/>
                <w:color w:val="374258"/>
                <w:szCs w:val="22"/>
                <w:shd w:val="clear" w:color="auto" w:fill="FFFFFF"/>
                <w:lang w:eastAsia="zh-CN"/>
              </w:rPr>
              <w:t xml:space="preserve"> 是澳大利亚全国职业信息服务平台。它提供在线资源，帮助青少年探索职业发展路径，并通过相关工具增进自我了解，从而更好地作出职业选择。该平台鼓励青少年思考自己的兴趣、价值观和技能与不同职业发展路径之间的关联。</w:t>
            </w:r>
          </w:p>
          <w:p w14:paraId="7D8B3AFB" w14:textId="2D35AC1D" w:rsidR="00377B26" w:rsidRPr="005D6608" w:rsidRDefault="00377B26" w:rsidP="00F161EB">
            <w:pPr>
              <w:cnfStyle w:val="000000000000" w:firstRow="0" w:lastRow="0" w:firstColumn="0" w:lastColumn="0" w:oddVBand="0" w:evenVBand="0" w:oddHBand="0" w:evenHBand="0" w:firstRowFirstColumn="0" w:firstRowLastColumn="0" w:lastRowFirstColumn="0" w:lastRowLastColumn="0"/>
              <w:rPr>
                <w:rFonts w:ascii="DengXian" w:eastAsia="DengXian" w:hAnsi="DengXian"/>
                <w:color w:val="374258"/>
                <w:szCs w:val="22"/>
                <w:shd w:val="clear" w:color="auto" w:fill="FFFFFF"/>
              </w:rPr>
            </w:pPr>
            <w:r w:rsidRPr="005D6608">
              <w:rPr>
                <w:rFonts w:ascii="DengXian" w:eastAsia="DengXian" w:hAnsi="DengXian"/>
                <w:color w:val="374258"/>
                <w:szCs w:val="22"/>
                <w:shd w:val="clear" w:color="auto" w:fill="FFFFFF"/>
                <w:lang w:eastAsia="zh-CN"/>
              </w:rPr>
              <w:t>给家长和照护者的信息</w:t>
            </w:r>
          </w:p>
          <w:p w14:paraId="6683F27A" w14:textId="75B4DA3A" w:rsidR="0007428E" w:rsidRPr="005D6608" w:rsidRDefault="00000000" w:rsidP="00F161EB">
            <w:pPr>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12" w:history="1">
              <w:r w:rsidR="00377B26" w:rsidRPr="005D6608">
                <w:rPr>
                  <w:rStyle w:val="Hyperlink"/>
                  <w:rFonts w:ascii="DengXian" w:eastAsia="DengXian" w:hAnsi="DengXian"/>
                  <w:szCs w:val="22"/>
                  <w:lang w:eastAsia="zh-CN"/>
                </w:rPr>
                <w:t>https://myfuture.edu.au/assist-your-child</w:t>
              </w:r>
            </w:hyperlink>
          </w:p>
        </w:tc>
      </w:tr>
      <w:tr w:rsidR="003B342E" w:rsidRPr="005D6608" w14:paraId="68FC025C" w14:textId="77777777" w:rsidTr="005D66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7C0C5B1C" w14:textId="2B9DA419" w:rsidR="003B342E" w:rsidRPr="005D6608" w:rsidRDefault="00377B26" w:rsidP="00323F4C">
            <w:pPr>
              <w:widowControl w:val="0"/>
              <w:autoSpaceDE w:val="0"/>
              <w:autoSpaceDN w:val="0"/>
              <w:spacing w:before="5"/>
              <w:rPr>
                <w:rFonts w:ascii="DengXian" w:eastAsia="DengXian" w:hAnsi="DengXian"/>
                <w:szCs w:val="22"/>
              </w:rPr>
            </w:pPr>
            <w:r w:rsidRPr="005D6608">
              <w:rPr>
                <w:rFonts w:ascii="DengXian" w:eastAsia="DengXian" w:hAnsi="DengXian"/>
                <w:szCs w:val="22"/>
                <w:lang w:eastAsia="zh-CN"/>
              </w:rPr>
              <w:t>Your Career（你的职业生涯）</w:t>
            </w:r>
          </w:p>
        </w:tc>
        <w:tc>
          <w:tcPr>
            <w:tcW w:w="5730" w:type="dxa"/>
            <w:vAlign w:val="center"/>
          </w:tcPr>
          <w:p w14:paraId="754B7B00" w14:textId="5B7566D3" w:rsidR="00802908" w:rsidRPr="005D6608" w:rsidRDefault="000F788D" w:rsidP="00802908">
            <w:pPr>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5D6608">
              <w:rPr>
                <w:rFonts w:ascii="DengXian" w:eastAsia="DengXian" w:hAnsi="DengXian"/>
                <w:szCs w:val="22"/>
                <w:lang w:eastAsia="zh-CN"/>
              </w:rPr>
              <w:t>Your Career 网站则提供清晰易懂的信息，帮助不同年龄和不同处境的人规划和管理自己的职业发展。</w:t>
            </w:r>
          </w:p>
          <w:p w14:paraId="2B6B225B" w14:textId="5F848566" w:rsidR="00767A1B" w:rsidRPr="005D6608" w:rsidRDefault="00767A1B" w:rsidP="00F161EB">
            <w:pPr>
              <w:cnfStyle w:val="000000010000" w:firstRow="0" w:lastRow="0" w:firstColumn="0" w:lastColumn="0" w:oddVBand="0" w:evenVBand="0" w:oddHBand="0" w:evenHBand="1" w:firstRowFirstColumn="0" w:firstRowLastColumn="0" w:lastRowFirstColumn="0" w:lastRowLastColumn="0"/>
              <w:rPr>
                <w:rFonts w:ascii="DengXian" w:eastAsia="DengXian" w:hAnsi="DengXian"/>
                <w:szCs w:val="22"/>
              </w:rPr>
            </w:pPr>
            <w:r w:rsidRPr="005D6608">
              <w:rPr>
                <w:rFonts w:ascii="DengXian" w:eastAsia="DengXian" w:hAnsi="DengXian"/>
                <w:lang w:eastAsia="zh-CN"/>
              </w:rPr>
              <w:t>此外，残障青年也可以获取有关离校后就业、升学和职业培训的支持与信息。</w:t>
            </w:r>
          </w:p>
          <w:p w14:paraId="01104A38" w14:textId="780EBCDE" w:rsidR="0007428E" w:rsidRPr="005D6608" w:rsidRDefault="00000000" w:rsidP="00F161EB">
            <w:pPr>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13" w:history="1">
              <w:r w:rsidR="00E80ACA" w:rsidRPr="005D6608">
                <w:rPr>
                  <w:rStyle w:val="Hyperlink"/>
                  <w:rFonts w:ascii="DengXian" w:eastAsia="DengXian" w:hAnsi="DengXian"/>
                  <w:lang w:eastAsia="zh-CN"/>
                </w:rPr>
                <w:t>https://www.yourcareer.gov.au/resources/diverse-roles</w:t>
              </w:r>
            </w:hyperlink>
            <w:r w:rsidR="00E80ACA" w:rsidRPr="005D6608">
              <w:rPr>
                <w:rFonts w:ascii="DengXian" w:eastAsia="DengXian" w:hAnsi="DengXian"/>
                <w:lang w:eastAsia="zh-CN"/>
              </w:rPr>
              <w:t xml:space="preserve"> </w:t>
            </w:r>
          </w:p>
        </w:tc>
      </w:tr>
      <w:tr w:rsidR="0039707A" w:rsidRPr="005D6608" w14:paraId="77F121B1" w14:textId="77777777" w:rsidTr="005D6608">
        <w:trPr>
          <w:trHeight w:val="956"/>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75F9AA67" w14:textId="3528351D" w:rsidR="0039707A" w:rsidRPr="005D6608" w:rsidRDefault="0039707A" w:rsidP="003D1C51">
            <w:pPr>
              <w:ind w:right="218"/>
              <w:rPr>
                <w:rFonts w:ascii="DengXian" w:eastAsia="DengXian" w:hAnsi="DengXian"/>
                <w:szCs w:val="22"/>
              </w:rPr>
            </w:pPr>
            <w:proofErr w:type="spellStart"/>
            <w:r w:rsidRPr="005D6608">
              <w:rPr>
                <w:rFonts w:ascii="DengXian" w:eastAsia="DengXian" w:hAnsi="DengXian"/>
                <w:szCs w:val="22"/>
                <w:lang w:eastAsia="zh-CN"/>
              </w:rPr>
              <w:t>myWAY</w:t>
            </w:r>
            <w:proofErr w:type="spellEnd"/>
            <w:r w:rsidRPr="005D6608">
              <w:rPr>
                <w:rFonts w:ascii="DengXian" w:eastAsia="DengXian" w:hAnsi="DengXian"/>
                <w:szCs w:val="22"/>
                <w:lang w:eastAsia="zh-CN"/>
              </w:rPr>
              <w:t xml:space="preserve"> Employability（</w:t>
            </w:r>
            <w:proofErr w:type="spellStart"/>
            <w:r w:rsidRPr="005D6608">
              <w:rPr>
                <w:rFonts w:ascii="DengXian" w:eastAsia="DengXian" w:hAnsi="DengXian"/>
                <w:szCs w:val="22"/>
                <w:lang w:eastAsia="zh-CN"/>
              </w:rPr>
              <w:t>myWAY</w:t>
            </w:r>
            <w:proofErr w:type="spellEnd"/>
            <w:r w:rsidRPr="005D6608">
              <w:rPr>
                <w:rFonts w:ascii="DengXian" w:eastAsia="DengXian" w:hAnsi="DengXian"/>
                <w:szCs w:val="22"/>
                <w:lang w:eastAsia="zh-CN"/>
              </w:rPr>
              <w:t>就业能力）</w:t>
            </w:r>
          </w:p>
        </w:tc>
        <w:tc>
          <w:tcPr>
            <w:tcW w:w="5730" w:type="dxa"/>
            <w:vAlign w:val="center"/>
          </w:tcPr>
          <w:p w14:paraId="11CD5A49" w14:textId="685E9BF6" w:rsidR="0039707A" w:rsidRPr="005D6608" w:rsidRDefault="0039707A" w:rsidP="00F161EB">
            <w:pPr>
              <w:ind w:right="218"/>
              <w:cnfStyle w:val="000000000000" w:firstRow="0" w:lastRow="0" w:firstColumn="0" w:lastColumn="0" w:oddVBand="0" w:evenVBand="0" w:oddHBand="0" w:evenHBand="0" w:firstRowFirstColumn="0" w:firstRowLastColumn="0" w:lastRowFirstColumn="0" w:lastRowLastColumn="0"/>
              <w:rPr>
                <w:rFonts w:ascii="DengXian" w:eastAsia="DengXian" w:hAnsi="DengXian"/>
                <w:szCs w:val="22"/>
              </w:rPr>
            </w:pPr>
            <w:proofErr w:type="spellStart"/>
            <w:r w:rsidRPr="005D6608">
              <w:rPr>
                <w:rFonts w:ascii="DengXian" w:eastAsia="DengXian" w:hAnsi="DengXian"/>
                <w:szCs w:val="22"/>
                <w:lang w:eastAsia="zh-CN"/>
              </w:rPr>
              <w:t>myWAY</w:t>
            </w:r>
            <w:proofErr w:type="spellEnd"/>
            <w:r w:rsidRPr="005D6608">
              <w:rPr>
                <w:rFonts w:ascii="DengXian" w:eastAsia="DengXian" w:hAnsi="DengXian"/>
                <w:szCs w:val="22"/>
                <w:lang w:eastAsia="zh-CN"/>
              </w:rPr>
              <w:t xml:space="preserve"> Employability 平台帮助自闭症青少年掌握自己的未来，为职场生活做好准备。</w:t>
            </w:r>
          </w:p>
          <w:p w14:paraId="060B3B5D" w14:textId="70DED661" w:rsidR="0007428E" w:rsidRPr="005D6608" w:rsidRDefault="00000000" w:rsidP="00F161EB">
            <w:pPr>
              <w:ind w:right="218"/>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14" w:history="1">
              <w:r w:rsidR="0069535D" w:rsidRPr="005D6608">
                <w:rPr>
                  <w:rStyle w:val="Hyperlink"/>
                  <w:rFonts w:ascii="DengXian" w:eastAsia="DengXian" w:hAnsi="DengXian"/>
                  <w:lang w:eastAsia="zh-CN"/>
                </w:rPr>
                <w:t>https://mywayemployability.au/</w:t>
              </w:r>
            </w:hyperlink>
            <w:r w:rsidR="0069535D" w:rsidRPr="005D6608">
              <w:rPr>
                <w:rFonts w:ascii="DengXian" w:eastAsia="DengXian" w:hAnsi="DengXian"/>
                <w:lang w:eastAsia="zh-CN"/>
              </w:rPr>
              <w:t xml:space="preserve"> </w:t>
            </w:r>
          </w:p>
        </w:tc>
      </w:tr>
      <w:tr w:rsidR="005F1468" w:rsidRPr="005D6608" w14:paraId="0D3D8FFA" w14:textId="77777777" w:rsidTr="005D66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6A2CF0E3" w14:textId="2E24C88E" w:rsidR="005F1468" w:rsidRPr="005D6608" w:rsidRDefault="005908D0" w:rsidP="003D1C51">
            <w:pPr>
              <w:ind w:right="218"/>
              <w:rPr>
                <w:rFonts w:ascii="DengXian" w:eastAsia="DengXian" w:hAnsi="DengXian"/>
                <w:szCs w:val="22"/>
              </w:rPr>
            </w:pPr>
            <w:r w:rsidRPr="005D6608">
              <w:rPr>
                <w:rFonts w:ascii="DengXian" w:eastAsia="DengXian" w:hAnsi="DengXian"/>
                <w:szCs w:val="22"/>
                <w:lang w:eastAsia="zh-CN"/>
              </w:rPr>
              <w:t>Disability Gateway（残障人士通道）</w:t>
            </w:r>
          </w:p>
        </w:tc>
        <w:tc>
          <w:tcPr>
            <w:tcW w:w="5730" w:type="dxa"/>
            <w:vAlign w:val="center"/>
          </w:tcPr>
          <w:p w14:paraId="0FFB245A" w14:textId="3EB54CA7" w:rsidR="005F1468" w:rsidRPr="005D6608" w:rsidRDefault="005F1468" w:rsidP="00F161EB">
            <w:pPr>
              <w:cnfStyle w:val="000000010000" w:firstRow="0" w:lastRow="0" w:firstColumn="0" w:lastColumn="0" w:oddVBand="0" w:evenVBand="0" w:oddHBand="0" w:evenHBand="1" w:firstRowFirstColumn="0" w:firstRowLastColumn="0" w:lastRowFirstColumn="0" w:lastRowLastColumn="0"/>
              <w:rPr>
                <w:rFonts w:ascii="DengXian" w:eastAsia="DengXian" w:hAnsi="DengXian"/>
                <w:szCs w:val="22"/>
              </w:rPr>
            </w:pPr>
            <w:r w:rsidRPr="005D6608">
              <w:rPr>
                <w:rFonts w:ascii="DengXian" w:eastAsia="DengXian" w:hAnsi="DengXian"/>
                <w:lang w:eastAsia="zh-CN"/>
              </w:rPr>
              <w:t xml:space="preserve">澳大利亚政府的 Disability Gateway 为残障人士及其家人和照护者提供可靠信息，并帮助他们联系所在地区的相关服务。 </w:t>
            </w:r>
          </w:p>
          <w:p w14:paraId="5922204A" w14:textId="357AFAC8" w:rsidR="005F1468" w:rsidRPr="005D6608" w:rsidRDefault="00000000" w:rsidP="00F161EB">
            <w:pPr>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15" w:history="1">
              <w:r w:rsidR="005F1468" w:rsidRPr="005D6608">
                <w:rPr>
                  <w:rStyle w:val="Hyperlink"/>
                  <w:rFonts w:ascii="DengXian" w:eastAsia="DengXian" w:hAnsi="DengXian"/>
                  <w:szCs w:val="22"/>
                  <w:lang w:eastAsia="zh-CN"/>
                </w:rPr>
                <w:t>https://www.disabilitygateway.gov.au/</w:t>
              </w:r>
            </w:hyperlink>
          </w:p>
        </w:tc>
      </w:tr>
      <w:tr w:rsidR="00DB7BEE" w:rsidRPr="005D6608" w14:paraId="2EA17882" w14:textId="77777777" w:rsidTr="005D6608">
        <w:trPr>
          <w:trHeight w:val="1384"/>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12736EE5" w14:textId="77777777" w:rsidR="00DB7BEE" w:rsidRPr="005D6608" w:rsidRDefault="00DB7BEE" w:rsidP="00DB7BEE">
            <w:pPr>
              <w:widowControl w:val="0"/>
              <w:autoSpaceDE w:val="0"/>
              <w:autoSpaceDN w:val="0"/>
              <w:rPr>
                <w:rFonts w:ascii="DengXian" w:eastAsia="DengXian" w:hAnsi="DengXian"/>
                <w:b w:val="0"/>
                <w:bCs w:val="0"/>
                <w:szCs w:val="22"/>
              </w:rPr>
            </w:pPr>
            <w:r w:rsidRPr="005D6608">
              <w:rPr>
                <w:rFonts w:ascii="DengXian" w:eastAsia="DengXian" w:hAnsi="DengXian"/>
                <w:szCs w:val="22"/>
                <w:lang w:eastAsia="zh-CN"/>
              </w:rPr>
              <w:lastRenderedPageBreak/>
              <w:t>Disability Employment Services (DES，残障就业服务)</w:t>
            </w:r>
          </w:p>
          <w:p w14:paraId="717207DA" w14:textId="77777777" w:rsidR="00DB7BEE" w:rsidRPr="005D6608" w:rsidRDefault="00DB7BEE" w:rsidP="00DB7BEE">
            <w:pPr>
              <w:widowControl w:val="0"/>
              <w:autoSpaceDE w:val="0"/>
              <w:autoSpaceDN w:val="0"/>
              <w:spacing w:before="5"/>
              <w:rPr>
                <w:rFonts w:ascii="DengXian" w:eastAsia="DengXian" w:hAnsi="DengXian"/>
                <w:b w:val="0"/>
                <w:bCs w:val="0"/>
                <w:szCs w:val="22"/>
              </w:rPr>
            </w:pPr>
          </w:p>
          <w:p w14:paraId="3EA42D08" w14:textId="77777777" w:rsidR="00DB7BEE" w:rsidRPr="005D6608" w:rsidRDefault="00DB7BEE" w:rsidP="00DB7BEE">
            <w:pPr>
              <w:widowControl w:val="0"/>
              <w:autoSpaceDE w:val="0"/>
              <w:autoSpaceDN w:val="0"/>
              <w:spacing w:before="5"/>
              <w:rPr>
                <w:rFonts w:ascii="DengXian" w:eastAsia="DengXian" w:hAnsi="DengXian"/>
                <w:b w:val="0"/>
                <w:bCs w:val="0"/>
                <w:szCs w:val="22"/>
              </w:rPr>
            </w:pPr>
          </w:p>
          <w:p w14:paraId="3B60690B" w14:textId="77777777" w:rsidR="00DB7BEE" w:rsidRPr="005D6608" w:rsidRDefault="00DB7BEE" w:rsidP="00DB7BEE">
            <w:pPr>
              <w:widowControl w:val="0"/>
              <w:autoSpaceDE w:val="0"/>
              <w:autoSpaceDN w:val="0"/>
              <w:spacing w:before="5"/>
              <w:rPr>
                <w:rFonts w:ascii="DengXian" w:eastAsia="DengXian" w:hAnsi="DengXian"/>
                <w:b w:val="0"/>
                <w:bCs w:val="0"/>
                <w:szCs w:val="22"/>
              </w:rPr>
            </w:pPr>
            <w:r w:rsidRPr="005D6608">
              <w:rPr>
                <w:rFonts w:ascii="DengXian" w:eastAsia="DengXian" w:hAnsi="DengXian"/>
                <w:szCs w:val="22"/>
                <w:lang w:eastAsia="zh-CN"/>
              </w:rPr>
              <w:t>Job Access（就业通道）</w:t>
            </w:r>
          </w:p>
          <w:p w14:paraId="7CAA9C5D" w14:textId="77777777" w:rsidR="00DB7BEE" w:rsidRPr="005D6608" w:rsidRDefault="00DB7BEE" w:rsidP="00DB7BEE">
            <w:pPr>
              <w:widowControl w:val="0"/>
              <w:autoSpaceDE w:val="0"/>
              <w:autoSpaceDN w:val="0"/>
              <w:spacing w:before="5"/>
              <w:rPr>
                <w:rFonts w:ascii="DengXian" w:eastAsia="DengXian" w:hAnsi="DengXian"/>
                <w:b w:val="0"/>
                <w:bCs w:val="0"/>
                <w:szCs w:val="22"/>
              </w:rPr>
            </w:pPr>
          </w:p>
          <w:p w14:paraId="383DA607" w14:textId="77777777" w:rsidR="00DB7BEE" w:rsidRPr="005D6608" w:rsidRDefault="00DB7BEE" w:rsidP="00DB7BEE">
            <w:pPr>
              <w:widowControl w:val="0"/>
              <w:autoSpaceDE w:val="0"/>
              <w:autoSpaceDN w:val="0"/>
              <w:spacing w:before="5"/>
              <w:rPr>
                <w:rFonts w:ascii="DengXian" w:eastAsia="DengXian" w:hAnsi="DengXian"/>
                <w:b w:val="0"/>
                <w:bCs w:val="0"/>
                <w:szCs w:val="22"/>
              </w:rPr>
            </w:pPr>
          </w:p>
          <w:p w14:paraId="30173954" w14:textId="77777777" w:rsidR="00DB7BEE" w:rsidRPr="005D6608" w:rsidRDefault="00DB7BEE" w:rsidP="00DB7BEE">
            <w:pPr>
              <w:widowControl w:val="0"/>
              <w:autoSpaceDE w:val="0"/>
              <w:autoSpaceDN w:val="0"/>
              <w:spacing w:before="5"/>
              <w:rPr>
                <w:rFonts w:ascii="DengXian" w:eastAsia="DengXian" w:hAnsi="DengXian"/>
                <w:b w:val="0"/>
                <w:bCs w:val="0"/>
                <w:szCs w:val="22"/>
              </w:rPr>
            </w:pPr>
          </w:p>
          <w:p w14:paraId="05FF1CBE" w14:textId="77777777" w:rsidR="00DB7BEE" w:rsidRPr="005D6608" w:rsidRDefault="00DB7BEE" w:rsidP="00DB7BEE">
            <w:pPr>
              <w:widowControl w:val="0"/>
              <w:autoSpaceDE w:val="0"/>
              <w:autoSpaceDN w:val="0"/>
              <w:spacing w:before="5"/>
              <w:rPr>
                <w:rFonts w:ascii="DengXian" w:eastAsia="DengXian" w:hAnsi="DengXian"/>
                <w:b w:val="0"/>
                <w:bCs w:val="0"/>
                <w:szCs w:val="22"/>
              </w:rPr>
            </w:pPr>
          </w:p>
          <w:p w14:paraId="26FE549B" w14:textId="77777777" w:rsidR="00DB7BEE" w:rsidRPr="005D6608" w:rsidRDefault="00DB7BEE" w:rsidP="00DB7BEE">
            <w:pPr>
              <w:widowControl w:val="0"/>
              <w:autoSpaceDE w:val="0"/>
              <w:autoSpaceDN w:val="0"/>
              <w:spacing w:before="5"/>
              <w:rPr>
                <w:rFonts w:ascii="DengXian" w:eastAsia="DengXian" w:hAnsi="DengXian"/>
                <w:b w:val="0"/>
                <w:bCs w:val="0"/>
                <w:szCs w:val="22"/>
              </w:rPr>
            </w:pPr>
          </w:p>
          <w:p w14:paraId="7433D44A" w14:textId="06007EE7" w:rsidR="00DB7BEE" w:rsidRPr="005D6608" w:rsidRDefault="00DB7BEE" w:rsidP="00DB7BEE">
            <w:pPr>
              <w:ind w:right="218"/>
              <w:rPr>
                <w:rFonts w:ascii="DengXian" w:eastAsia="DengXian" w:hAnsi="DengXian"/>
                <w:szCs w:val="22"/>
              </w:rPr>
            </w:pPr>
            <w:r w:rsidRPr="005D6608">
              <w:rPr>
                <w:rFonts w:ascii="DengXian" w:eastAsia="DengXian" w:hAnsi="DengXian"/>
                <w:szCs w:val="22"/>
                <w:lang w:eastAsia="zh-CN"/>
              </w:rPr>
              <w:t>DES Providers (残障就业服务提供机构)</w:t>
            </w:r>
          </w:p>
        </w:tc>
        <w:tc>
          <w:tcPr>
            <w:tcW w:w="5730" w:type="dxa"/>
            <w:vAlign w:val="center"/>
          </w:tcPr>
          <w:p w14:paraId="3A3D97DE" w14:textId="0DA84DFB" w:rsidR="00DB7BEE" w:rsidRPr="005D6608"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r w:rsidRPr="005D6608">
              <w:rPr>
                <w:rFonts w:ascii="DengXian" w:eastAsia="DengXian" w:hAnsi="DengXian" w:cs="Arial"/>
                <w:sz w:val="22"/>
                <w:szCs w:val="22"/>
                <w:lang w:eastAsia="zh-CN"/>
              </w:rPr>
              <w:t xml:space="preserve">DES </w:t>
            </w:r>
            <w:proofErr w:type="spellStart"/>
            <w:r w:rsidRPr="005D6608">
              <w:rPr>
                <w:rFonts w:ascii="DengXian" w:eastAsia="DengXian" w:hAnsi="DengXian" w:cs="Arial"/>
                <w:sz w:val="22"/>
                <w:szCs w:val="22"/>
                <w:lang w:eastAsia="zh-CN"/>
              </w:rPr>
              <w:t>是澳大利亚政府提供的就业服务，为残障人士提供求职和就业支持，帮助他们获得工作机会并维持工作</w:t>
            </w:r>
            <w:proofErr w:type="spellEnd"/>
            <w:r w:rsidRPr="005D6608">
              <w:rPr>
                <w:rFonts w:ascii="DengXian" w:eastAsia="DengXian" w:hAnsi="DengXian" w:cs="Arial"/>
                <w:sz w:val="22"/>
                <w:szCs w:val="22"/>
                <w:lang w:eastAsia="zh-CN"/>
              </w:rPr>
              <w:t>。</w:t>
            </w:r>
          </w:p>
          <w:p w14:paraId="67F801E1" w14:textId="77777777" w:rsidR="00DB7BEE" w:rsidRPr="005D6608"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p>
          <w:p w14:paraId="306CF399" w14:textId="77777777" w:rsidR="00DB7BEE" w:rsidRPr="005D6608"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r w:rsidRPr="005D6608">
              <w:rPr>
                <w:rFonts w:ascii="DengXian" w:eastAsia="DengXian" w:hAnsi="DengXian" w:cs="Arial"/>
                <w:sz w:val="22"/>
                <w:szCs w:val="22"/>
                <w:lang w:eastAsia="zh-CN"/>
              </w:rPr>
              <w:t xml:space="preserve">Job </w:t>
            </w:r>
            <w:proofErr w:type="spellStart"/>
            <w:r w:rsidRPr="005D6608">
              <w:rPr>
                <w:rFonts w:ascii="DengXian" w:eastAsia="DengXian" w:hAnsi="DengXian" w:cs="Arial"/>
                <w:sz w:val="22"/>
                <w:szCs w:val="22"/>
                <w:lang w:eastAsia="zh-CN"/>
              </w:rPr>
              <w:t>Access是澳大利亚全国性的就业信息服务平台，专为残障人士提供职场与就业相关资讯，整合了各类推动残障人士就业的信息和资源</w:t>
            </w:r>
            <w:proofErr w:type="spellEnd"/>
            <w:r w:rsidRPr="005D6608">
              <w:rPr>
                <w:rFonts w:ascii="DengXian" w:eastAsia="DengXian" w:hAnsi="DengXian" w:cs="Arial"/>
                <w:sz w:val="22"/>
                <w:szCs w:val="22"/>
                <w:lang w:eastAsia="zh-CN"/>
              </w:rPr>
              <w:t>。</w:t>
            </w:r>
          </w:p>
          <w:p w14:paraId="5ECA0CC5" w14:textId="77777777" w:rsidR="00DB7BEE" w:rsidRPr="005D6608" w:rsidRDefault="00000000"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hyperlink r:id="rId16" w:history="1">
              <w:r w:rsidR="00DB7BEE" w:rsidRPr="005D6608">
                <w:rPr>
                  <w:rStyle w:val="Hyperlink"/>
                  <w:rFonts w:ascii="DengXian" w:eastAsia="DengXian" w:hAnsi="DengXian" w:cs="Arial"/>
                  <w:sz w:val="22"/>
                  <w:szCs w:val="22"/>
                  <w:lang w:eastAsia="zh-CN"/>
                </w:rPr>
                <w:t>https://www.jobaccess.gov.au/</w:t>
              </w:r>
            </w:hyperlink>
          </w:p>
          <w:p w14:paraId="0858D9C1" w14:textId="77777777" w:rsidR="00DB7BEE" w:rsidRPr="005D6608"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p>
          <w:p w14:paraId="036401B0" w14:textId="53A68213" w:rsidR="00DB7BEE" w:rsidRPr="005D6608" w:rsidRDefault="00DB7BEE" w:rsidP="00DB7BEE">
            <w:pPr>
              <w:cnfStyle w:val="000000000000" w:firstRow="0" w:lastRow="0" w:firstColumn="0" w:lastColumn="0" w:oddVBand="0" w:evenVBand="0" w:oddHBand="0" w:evenHBand="0" w:firstRowFirstColumn="0" w:firstRowLastColumn="0" w:lastRowFirstColumn="0" w:lastRowLastColumn="0"/>
              <w:rPr>
                <w:rFonts w:ascii="DengXian" w:eastAsia="DengXian" w:hAnsi="DengXian"/>
              </w:rPr>
            </w:pPr>
            <w:r w:rsidRPr="005D6608">
              <w:rPr>
                <w:rFonts w:ascii="DengXian" w:eastAsia="DengXian" w:hAnsi="DengXian"/>
                <w:szCs w:val="22"/>
                <w:lang w:eastAsia="zh-CN"/>
              </w:rPr>
              <w:t>找到服务提供机构</w:t>
            </w:r>
            <w:r w:rsidR="00000000" w:rsidRPr="005D6608">
              <w:rPr>
                <w:rFonts w:ascii="DengXian" w:eastAsia="DengXian" w:hAnsi="DengXian"/>
              </w:rPr>
              <w:fldChar w:fldCharType="begin"/>
            </w:r>
            <w:r w:rsidR="00000000" w:rsidRPr="005D6608">
              <w:rPr>
                <w:rFonts w:ascii="DengXian" w:eastAsia="DengXian" w:hAnsi="DengXian"/>
              </w:rPr>
              <w:instrText>HYPERLINK "https://www.jobaccess.gov.au/find-a-provider"</w:instrText>
            </w:r>
            <w:r w:rsidR="00000000" w:rsidRPr="005D6608">
              <w:rPr>
                <w:rFonts w:ascii="DengXian" w:eastAsia="DengXian" w:hAnsi="DengXian"/>
              </w:rPr>
            </w:r>
            <w:r w:rsidR="00000000" w:rsidRPr="005D6608">
              <w:rPr>
                <w:rFonts w:ascii="DengXian" w:eastAsia="DengXian" w:hAnsi="DengXian"/>
              </w:rPr>
              <w:fldChar w:fldCharType="separate"/>
            </w:r>
            <w:r w:rsidRPr="005D6608">
              <w:rPr>
                <w:rStyle w:val="Hyperlink"/>
                <w:rFonts w:ascii="DengXian" w:eastAsia="DengXian" w:hAnsi="DengXian"/>
                <w:szCs w:val="22"/>
                <w:lang w:eastAsia="zh-CN"/>
              </w:rPr>
              <w:t>https://www.jobaccess.gov.au/find-a-provider</w:t>
            </w:r>
            <w:r w:rsidR="00000000" w:rsidRPr="005D6608">
              <w:rPr>
                <w:rStyle w:val="Hyperlink"/>
                <w:rFonts w:ascii="DengXian" w:eastAsia="DengXian" w:hAnsi="DengXian"/>
                <w:szCs w:val="22"/>
                <w:lang w:eastAsia="zh-CN"/>
              </w:rPr>
              <w:fldChar w:fldCharType="end"/>
            </w:r>
          </w:p>
        </w:tc>
      </w:tr>
      <w:tr w:rsidR="00047801" w:rsidRPr="005D6608" w14:paraId="3E711B4D" w14:textId="77777777" w:rsidTr="005D66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54080191" w14:textId="2503475C" w:rsidR="00047801" w:rsidRPr="005D6608" w:rsidRDefault="00047801" w:rsidP="00DB7BEE">
            <w:pPr>
              <w:widowControl w:val="0"/>
              <w:autoSpaceDE w:val="0"/>
              <w:autoSpaceDN w:val="0"/>
              <w:rPr>
                <w:rFonts w:ascii="DengXian" w:eastAsia="DengXian" w:hAnsi="DengXian"/>
                <w:szCs w:val="22"/>
              </w:rPr>
            </w:pPr>
            <w:r w:rsidRPr="005D6608">
              <w:rPr>
                <w:rFonts w:ascii="DengXian" w:eastAsia="DengXian" w:hAnsi="DengXian"/>
                <w:szCs w:val="22"/>
                <w:lang w:eastAsia="zh-CN"/>
              </w:rPr>
              <w:t>National Disability Insurance Scheme (NDIS，国家残障保险计划)</w:t>
            </w:r>
          </w:p>
        </w:tc>
        <w:tc>
          <w:tcPr>
            <w:tcW w:w="5730" w:type="dxa"/>
            <w:vAlign w:val="center"/>
          </w:tcPr>
          <w:p w14:paraId="45368B02" w14:textId="77777777" w:rsidR="00047801" w:rsidRPr="005D6608" w:rsidRDefault="00047801" w:rsidP="00047801">
            <w:pPr>
              <w:ind w:right="218"/>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5D6608">
              <w:rPr>
                <w:rFonts w:ascii="DengXian" w:eastAsia="DengXian" w:hAnsi="DengXian"/>
                <w:lang w:eastAsia="zh-CN"/>
              </w:rPr>
              <w:t>国家残障保险计划（NDIS）采取终身支持方式，通过尽早对残障人士和发育迟缓儿童的投资提升他们未来的生活质量。</w:t>
            </w:r>
          </w:p>
          <w:p w14:paraId="52310A9D" w14:textId="587F9993" w:rsidR="00047801" w:rsidRPr="005D6608" w:rsidRDefault="00000000"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DengXian" w:eastAsia="DengXian" w:hAnsi="DengXian" w:cs="Arial"/>
                <w:sz w:val="22"/>
                <w:szCs w:val="22"/>
              </w:rPr>
            </w:pPr>
            <w:hyperlink r:id="rId17" w:history="1">
              <w:r w:rsidR="00047801" w:rsidRPr="005D6608">
                <w:rPr>
                  <w:rStyle w:val="Hyperlink"/>
                  <w:rFonts w:ascii="DengXian" w:eastAsia="DengXian" w:hAnsi="DengXian"/>
                  <w:sz w:val="22"/>
                  <w:szCs w:val="22"/>
                  <w:lang w:eastAsia="zh-CN"/>
                </w:rPr>
                <w:t>https://www.ndis.gov.au/</w:t>
              </w:r>
            </w:hyperlink>
          </w:p>
        </w:tc>
      </w:tr>
      <w:tr w:rsidR="00047801" w:rsidRPr="005D6608" w14:paraId="23A66398" w14:textId="77777777" w:rsidTr="005D6608">
        <w:trPr>
          <w:trHeight w:val="1384"/>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0A053A20" w14:textId="77777777" w:rsidR="00047801" w:rsidRPr="005D6608" w:rsidRDefault="00047801" w:rsidP="00047801">
            <w:pPr>
              <w:widowControl w:val="0"/>
              <w:autoSpaceDE w:val="0"/>
              <w:autoSpaceDN w:val="0"/>
              <w:spacing w:before="5"/>
              <w:rPr>
                <w:rFonts w:ascii="DengXian" w:eastAsia="DengXian" w:hAnsi="DengXian"/>
                <w:b w:val="0"/>
                <w:bCs w:val="0"/>
                <w:szCs w:val="22"/>
              </w:rPr>
            </w:pPr>
            <w:r w:rsidRPr="005D6608">
              <w:rPr>
                <w:rFonts w:ascii="DengXian" w:eastAsia="DengXian" w:hAnsi="DengXian"/>
                <w:szCs w:val="22"/>
                <w:lang w:eastAsia="zh-CN"/>
              </w:rPr>
              <w:t>NDIS （国家残障保险计划）</w:t>
            </w:r>
          </w:p>
          <w:p w14:paraId="0593856A" w14:textId="77777777" w:rsidR="00047801" w:rsidRPr="005D6608" w:rsidRDefault="00047801" w:rsidP="00047801">
            <w:pPr>
              <w:widowControl w:val="0"/>
              <w:autoSpaceDE w:val="0"/>
              <w:autoSpaceDN w:val="0"/>
              <w:spacing w:before="5"/>
              <w:rPr>
                <w:rFonts w:ascii="DengXian" w:eastAsia="DengXian" w:hAnsi="DengXian"/>
                <w:b w:val="0"/>
                <w:bCs w:val="0"/>
                <w:szCs w:val="22"/>
              </w:rPr>
            </w:pPr>
            <w:r w:rsidRPr="005D6608">
              <w:rPr>
                <w:rFonts w:ascii="DengXian" w:eastAsia="DengXian" w:hAnsi="DengXian"/>
                <w:szCs w:val="22"/>
                <w:lang w:eastAsia="zh-CN"/>
              </w:rPr>
              <w:t>School Leaver Employment Supports</w:t>
            </w:r>
          </w:p>
          <w:p w14:paraId="2933AA6E" w14:textId="0771F84C" w:rsidR="00047801" w:rsidRPr="005D6608" w:rsidRDefault="00047801" w:rsidP="00047801">
            <w:pPr>
              <w:widowControl w:val="0"/>
              <w:autoSpaceDE w:val="0"/>
              <w:autoSpaceDN w:val="0"/>
              <w:rPr>
                <w:rFonts w:ascii="DengXian" w:eastAsia="DengXian" w:hAnsi="DengXian"/>
                <w:szCs w:val="22"/>
              </w:rPr>
            </w:pPr>
            <w:r w:rsidRPr="005D6608">
              <w:rPr>
                <w:rFonts w:ascii="DengXian" w:eastAsia="DengXian" w:hAnsi="DengXian"/>
                <w:szCs w:val="22"/>
                <w:lang w:eastAsia="zh-CN"/>
              </w:rPr>
              <w:t>（SLES，离校生就业支持）</w:t>
            </w:r>
          </w:p>
        </w:tc>
        <w:tc>
          <w:tcPr>
            <w:tcW w:w="5730" w:type="dxa"/>
            <w:vAlign w:val="center"/>
          </w:tcPr>
          <w:p w14:paraId="0276078B" w14:textId="77777777" w:rsidR="00047801" w:rsidRPr="005D6608"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r w:rsidRPr="005D6608">
              <w:rPr>
                <w:rFonts w:ascii="DengXian" w:eastAsia="DengXian" w:hAnsi="DengXian" w:cs="Arial"/>
                <w:sz w:val="22"/>
                <w:szCs w:val="22"/>
                <w:lang w:eastAsia="zh-CN"/>
              </w:rPr>
              <w:t xml:space="preserve">将 SLES </w:t>
            </w:r>
            <w:proofErr w:type="spellStart"/>
            <w:r w:rsidRPr="005D6608">
              <w:rPr>
                <w:rFonts w:ascii="DengXian" w:eastAsia="DengXian" w:hAnsi="DengXian" w:cs="Arial"/>
                <w:sz w:val="22"/>
                <w:szCs w:val="22"/>
                <w:lang w:eastAsia="zh-CN"/>
              </w:rPr>
              <w:t>纳入</w:t>
            </w:r>
            <w:proofErr w:type="spellEnd"/>
            <w:r w:rsidRPr="005D6608">
              <w:rPr>
                <w:rFonts w:ascii="DengXian" w:eastAsia="DengXian" w:hAnsi="DengXian" w:cs="Arial"/>
                <w:sz w:val="22"/>
                <w:szCs w:val="22"/>
                <w:lang w:eastAsia="zh-CN"/>
              </w:rPr>
              <w:t xml:space="preserve"> NDIS </w:t>
            </w:r>
            <w:proofErr w:type="spellStart"/>
            <w:r w:rsidRPr="005D6608">
              <w:rPr>
                <w:rFonts w:ascii="DengXian" w:eastAsia="DengXian" w:hAnsi="DengXian" w:cs="Arial"/>
                <w:sz w:val="22"/>
                <w:szCs w:val="22"/>
                <w:lang w:eastAsia="zh-CN"/>
              </w:rPr>
              <w:t>计划，有助于参与者实现从学校到职场的顺利过渡。该支持通常在高中高年级以及刚离校后的一段时间内提供</w:t>
            </w:r>
            <w:proofErr w:type="spellEnd"/>
            <w:r w:rsidRPr="005D6608">
              <w:rPr>
                <w:rFonts w:ascii="DengXian" w:eastAsia="DengXian" w:hAnsi="DengXian" w:cs="Arial"/>
                <w:sz w:val="22"/>
                <w:szCs w:val="22"/>
                <w:lang w:eastAsia="zh-CN"/>
              </w:rPr>
              <w:t>。</w:t>
            </w:r>
          </w:p>
          <w:p w14:paraId="050C1EE4" w14:textId="77777777" w:rsidR="00047801" w:rsidRPr="005D6608"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p>
          <w:p w14:paraId="3D09B792" w14:textId="77777777" w:rsidR="00047801" w:rsidRPr="005D6608"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DengXian" w:eastAsia="DengXian" w:hAnsi="DengXian" w:cs="Arial"/>
                <w:sz w:val="22"/>
                <w:szCs w:val="22"/>
              </w:rPr>
            </w:pPr>
            <w:r w:rsidRPr="005D6608">
              <w:rPr>
                <w:rFonts w:ascii="DengXian" w:eastAsia="DengXian" w:hAnsi="DengXian" w:cs="Arial"/>
                <w:sz w:val="22"/>
                <w:szCs w:val="22"/>
                <w:lang w:eastAsia="zh-CN"/>
              </w:rPr>
              <w:t>这些提供离校生就业支持的服务机构帮助年轻人做好就业准备、寻找工作机会，并成功实现就业。他们提供有意义且个人化的能力培养活动，以帮助年轻人实现自己的就业目标。</w:t>
            </w:r>
          </w:p>
          <w:p w14:paraId="3E1E18B3" w14:textId="38D422FD" w:rsidR="00047801" w:rsidRPr="005D6608" w:rsidRDefault="00000000" w:rsidP="00047801">
            <w:pPr>
              <w:ind w:right="218"/>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18" w:history="1">
              <w:r w:rsidR="00047801" w:rsidRPr="005D6608">
                <w:rPr>
                  <w:rStyle w:val="Hyperlink"/>
                  <w:rFonts w:ascii="DengXian" w:eastAsia="DengXian" w:hAnsi="DengXian"/>
                  <w:lang w:eastAsia="zh-CN"/>
                </w:rPr>
                <w:t>https://www.ndis.gov.au/providers/working-provider/delivering-capacity-building-employment-assistance</w:t>
              </w:r>
            </w:hyperlink>
          </w:p>
        </w:tc>
      </w:tr>
      <w:tr w:rsidR="00BD3692" w:rsidRPr="005D6608" w14:paraId="7A7A78FD" w14:textId="77777777" w:rsidTr="005D66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050B4D5B" w14:textId="77777777" w:rsidR="00BD3692" w:rsidRPr="005D6608" w:rsidRDefault="00BD3692" w:rsidP="00BD3692">
            <w:pPr>
              <w:widowControl w:val="0"/>
              <w:autoSpaceDE w:val="0"/>
              <w:autoSpaceDN w:val="0"/>
              <w:spacing w:before="5"/>
              <w:rPr>
                <w:rFonts w:ascii="DengXian" w:eastAsia="DengXian" w:hAnsi="DengXian"/>
                <w:b w:val="0"/>
                <w:bCs w:val="0"/>
                <w:szCs w:val="22"/>
              </w:rPr>
            </w:pPr>
            <w:r w:rsidRPr="005D6608">
              <w:rPr>
                <w:rFonts w:ascii="DengXian" w:eastAsia="DengXian" w:hAnsi="DengXian"/>
                <w:szCs w:val="22"/>
                <w:lang w:eastAsia="zh-CN"/>
              </w:rPr>
              <w:t>NDIS （国家残障保险计划）</w:t>
            </w:r>
          </w:p>
          <w:p w14:paraId="77C805BA" w14:textId="1DA346FF" w:rsidR="00BD3692" w:rsidRPr="005D6608" w:rsidRDefault="00BD3692" w:rsidP="00BD3692">
            <w:pPr>
              <w:widowControl w:val="0"/>
              <w:autoSpaceDE w:val="0"/>
              <w:autoSpaceDN w:val="0"/>
              <w:spacing w:before="5"/>
              <w:rPr>
                <w:rFonts w:ascii="DengXian" w:eastAsia="DengXian" w:hAnsi="DengXian"/>
                <w:szCs w:val="22"/>
              </w:rPr>
            </w:pPr>
            <w:r w:rsidRPr="005D6608">
              <w:rPr>
                <w:rFonts w:ascii="DengXian" w:eastAsia="DengXian" w:hAnsi="DengXian"/>
                <w:szCs w:val="22"/>
                <w:lang w:eastAsia="zh-CN"/>
              </w:rPr>
              <w:t>寻找工作、保住工作和更换工作</w:t>
            </w:r>
          </w:p>
        </w:tc>
        <w:tc>
          <w:tcPr>
            <w:tcW w:w="5730" w:type="dxa"/>
            <w:vAlign w:val="center"/>
          </w:tcPr>
          <w:p w14:paraId="7527F854" w14:textId="77777777" w:rsidR="00BD3692" w:rsidRPr="005D6608"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rFonts w:ascii="DengXian" w:eastAsia="DengXian" w:hAnsi="DengXian"/>
                <w:b w:val="0"/>
                <w:bCs/>
                <w:color w:val="auto"/>
                <w:sz w:val="22"/>
                <w:szCs w:val="22"/>
              </w:rPr>
            </w:pPr>
            <w:r w:rsidRPr="005D6608">
              <w:rPr>
                <w:rFonts w:ascii="DengXian" w:eastAsia="DengXian" w:hAnsi="DengXian"/>
                <w:b w:val="0"/>
                <w:color w:val="auto"/>
                <w:sz w:val="22"/>
                <w:szCs w:val="22"/>
                <w:lang w:eastAsia="zh-CN"/>
              </w:rPr>
              <w:t>该服务包括以下方面的信息：</w:t>
            </w:r>
          </w:p>
          <w:p w14:paraId="196E9924" w14:textId="77777777" w:rsidR="00BD3692" w:rsidRPr="005D6608"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5D6608">
              <w:rPr>
                <w:rFonts w:ascii="DengXian" w:eastAsia="DengXian" w:hAnsi="DengXian"/>
                <w:lang w:eastAsia="zh-CN"/>
              </w:rPr>
              <w:t>思考和谈论工作</w:t>
            </w:r>
          </w:p>
          <w:p w14:paraId="42F5BFD6" w14:textId="77777777" w:rsidR="00BD3692" w:rsidRPr="005D6608"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5D6608">
              <w:rPr>
                <w:rFonts w:ascii="DengXian" w:eastAsia="DengXian" w:hAnsi="DengXian"/>
                <w:lang w:eastAsia="zh-CN"/>
              </w:rPr>
              <w:t>离开学校</w:t>
            </w:r>
          </w:p>
          <w:p w14:paraId="68CD52B3" w14:textId="77777777" w:rsidR="00BD3692" w:rsidRPr="005D6608"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5D6608">
              <w:rPr>
                <w:rFonts w:ascii="DengXian" w:eastAsia="DengXian" w:hAnsi="DengXian"/>
                <w:lang w:eastAsia="zh-CN"/>
              </w:rPr>
              <w:t>就业准备</w:t>
            </w:r>
          </w:p>
          <w:p w14:paraId="27EA94B1" w14:textId="77777777" w:rsidR="00BD3692" w:rsidRPr="005D6608"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5D6608">
              <w:rPr>
                <w:rFonts w:ascii="DengXian" w:eastAsia="DengXian" w:hAnsi="DengXian"/>
                <w:lang w:eastAsia="zh-CN"/>
              </w:rPr>
              <w:t>从事志愿工作。</w:t>
            </w:r>
          </w:p>
          <w:p w14:paraId="4F90A0ED" w14:textId="6D5700D9" w:rsidR="00BD3692" w:rsidRPr="005D6608" w:rsidRDefault="00000000"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DengXian" w:eastAsia="DengXian" w:hAnsi="DengXian" w:cs="Arial"/>
                <w:sz w:val="22"/>
                <w:szCs w:val="22"/>
              </w:rPr>
            </w:pPr>
            <w:hyperlink r:id="rId19" w:history="1">
              <w:r w:rsidR="00BD3692" w:rsidRPr="005D6608">
                <w:rPr>
                  <w:rStyle w:val="Hyperlink"/>
                  <w:rFonts w:ascii="DengXian" w:eastAsia="DengXian" w:hAnsi="DengXian"/>
                  <w:szCs w:val="22"/>
                  <w:lang w:eastAsia="zh-CN"/>
                </w:rPr>
                <w:t>https://www.ndis.gov.au/participants/finding-keeping-and-changing-jobs</w:t>
              </w:r>
            </w:hyperlink>
          </w:p>
        </w:tc>
      </w:tr>
    </w:tbl>
    <w:p w14:paraId="4F38F478" w14:textId="77777777" w:rsidR="00373694" w:rsidRPr="005D6608" w:rsidRDefault="00373694" w:rsidP="00373694">
      <w:pPr>
        <w:rPr>
          <w:rFonts w:ascii="DengXian" w:eastAsia="DengXian" w:hAnsi="DengXian"/>
          <w:szCs w:val="22"/>
        </w:rPr>
      </w:pPr>
    </w:p>
    <w:sectPr w:rsidR="00373694" w:rsidRPr="005D6608" w:rsidSect="00F3668A">
      <w:headerReference w:type="default" r:id="rId20"/>
      <w:footerReference w:type="default" r:id="rId21"/>
      <w:headerReference w:type="first" r:id="rId22"/>
      <w:footerReference w:type="first" r:id="rId23"/>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E5EF" w14:textId="77777777" w:rsidR="008B7E6F" w:rsidRDefault="008B7E6F" w:rsidP="00127DAD">
      <w:r>
        <w:separator/>
      </w:r>
    </w:p>
    <w:p w14:paraId="6585CED9" w14:textId="77777777" w:rsidR="008B7E6F" w:rsidRDefault="008B7E6F"/>
  </w:endnote>
  <w:endnote w:type="continuationSeparator" w:id="0">
    <w:p w14:paraId="6BE7CC0B" w14:textId="77777777" w:rsidR="008B7E6F" w:rsidRDefault="008B7E6F" w:rsidP="00127DAD">
      <w:r>
        <w:continuationSeparator/>
      </w:r>
    </w:p>
    <w:p w14:paraId="368BC340" w14:textId="77777777" w:rsidR="008B7E6F" w:rsidRDefault="008B7E6F"/>
  </w:endnote>
  <w:endnote w:type="continuationNotice" w:id="1">
    <w:p w14:paraId="42D95842" w14:textId="77777777" w:rsidR="008B7E6F" w:rsidRDefault="008B7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7D93" w14:textId="69A3E36B" w:rsidR="00D77580" w:rsidRPr="00323F4C" w:rsidRDefault="000337D4" w:rsidP="00E66942">
    <w:pPr>
      <w:pStyle w:val="Footer"/>
      <w:rPr>
        <w:sz w:val="18"/>
        <w:szCs w:val="14"/>
      </w:rPr>
    </w:pPr>
    <w:r>
      <w:rPr>
        <w:lang w:eastAsia="zh-CN"/>
      </w:rPr>
      <w:tab/>
    </w:r>
    <w:r>
      <w:rPr>
        <w:lang w:eastAsia="zh-CN"/>
      </w:rPr>
      <w:tab/>
    </w:r>
    <w:r>
      <w:rPr>
        <w:sz w:val="18"/>
        <w:szCs w:val="14"/>
        <w:lang w:eastAsia="zh-CN"/>
      </w:rPr>
      <w:t>D26/0249538</w:t>
    </w:r>
  </w:p>
  <w:p w14:paraId="2751E260" w14:textId="66C9C0F4" w:rsidR="000337D4" w:rsidRPr="00323F4C" w:rsidRDefault="000337D4" w:rsidP="00E66942">
    <w:pPr>
      <w:pStyle w:val="Footer"/>
      <w:rPr>
        <w:sz w:val="18"/>
        <w:szCs w:val="14"/>
      </w:rPr>
    </w:pPr>
    <w:r>
      <w:rPr>
        <w:sz w:val="18"/>
        <w:szCs w:val="14"/>
        <w:lang w:eastAsia="zh-CN"/>
      </w:rPr>
      <w:tab/>
    </w:r>
    <w:r>
      <w:rPr>
        <w:sz w:val="18"/>
        <w:szCs w:val="14"/>
        <w:lang w:eastAsia="zh-CN"/>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eastAsia="zh-CN"/>
          </w:rPr>
          <w:fldChar w:fldCharType="begin"/>
        </w:r>
        <w:r>
          <w:rPr>
            <w:lang w:eastAsia="zh-CN"/>
          </w:rPr>
          <w:instrText xml:space="preserve"> PAGE   \* MERGEFORMAT </w:instrText>
        </w:r>
        <w:r>
          <w:rPr>
            <w:lang w:eastAsia="zh-CN"/>
          </w:rPr>
          <w:fldChar w:fldCharType="separate"/>
        </w:r>
        <w:r>
          <w:rPr>
            <w:noProof/>
            <w:lang w:eastAsia="zh-CN"/>
          </w:rPr>
          <w:t>2</w:t>
        </w:r>
        <w:r>
          <w:rPr>
            <w:noProof/>
            <w:lang w:eastAsia="zh-CN"/>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755C" w14:textId="3F030616" w:rsidR="00EF2296" w:rsidRPr="00323F4C" w:rsidRDefault="00F3668A" w:rsidP="00EF2296">
    <w:pPr>
      <w:pStyle w:val="Footer"/>
      <w:ind w:right="510"/>
      <w:jc w:val="right"/>
      <w:rPr>
        <w:sz w:val="18"/>
        <w:szCs w:val="14"/>
      </w:rPr>
    </w:pPr>
    <w:r>
      <w:rPr>
        <w:sz w:val="18"/>
        <w:szCs w:val="14"/>
        <w:lang w:eastAsia="zh-CN"/>
      </w:rPr>
      <w:ptab w:relativeTo="margin" w:alignment="right" w:leader="none"/>
    </w:r>
    <w:r>
      <w:rPr>
        <w:sz w:val="18"/>
        <w:szCs w:val="14"/>
        <w:lang w:eastAsia="zh-CN"/>
      </w:rPr>
      <w:t>D26/0249538</w:t>
    </w:r>
  </w:p>
  <w:p w14:paraId="163CF8A8" w14:textId="41EA3796" w:rsidR="00EF2296" w:rsidRPr="00323F4C" w:rsidRDefault="00EF2296" w:rsidP="00EF2296">
    <w:pPr>
      <w:pStyle w:val="Footer"/>
      <w:ind w:right="510"/>
      <w:jc w:val="right"/>
      <w:rPr>
        <w:sz w:val="18"/>
        <w:szCs w:val="14"/>
      </w:rPr>
    </w:pPr>
    <w:r>
      <w:rPr>
        <w:sz w:val="18"/>
        <w:szCs w:val="14"/>
        <w:lang w:eastAsia="zh-CN"/>
      </w:rPr>
      <w:tab/>
    </w:r>
    <w:r>
      <w:rPr>
        <w:sz w:val="18"/>
        <w:szCs w:val="14"/>
        <w:lang w:eastAsia="zh-CN"/>
      </w:rPr>
      <w:tab/>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D5F3" w14:textId="77777777" w:rsidR="008B7E6F" w:rsidRDefault="008B7E6F" w:rsidP="00127DAD">
      <w:r>
        <w:separator/>
      </w:r>
    </w:p>
    <w:p w14:paraId="5D1EB11A" w14:textId="77777777" w:rsidR="008B7E6F" w:rsidRDefault="008B7E6F"/>
  </w:footnote>
  <w:footnote w:type="continuationSeparator" w:id="0">
    <w:p w14:paraId="462F85EF" w14:textId="77777777" w:rsidR="008B7E6F" w:rsidRDefault="008B7E6F" w:rsidP="00127DAD">
      <w:r>
        <w:continuationSeparator/>
      </w:r>
    </w:p>
    <w:p w14:paraId="283205B5" w14:textId="77777777" w:rsidR="008B7E6F" w:rsidRDefault="008B7E6F"/>
  </w:footnote>
  <w:footnote w:type="continuationNotice" w:id="1">
    <w:p w14:paraId="1A9114B4" w14:textId="77777777" w:rsidR="008B7E6F" w:rsidRDefault="008B7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6CA6" w14:textId="4F597249" w:rsidR="000337D4" w:rsidRDefault="000337D4" w:rsidP="0075116E">
    <w:pPr>
      <w:pStyle w:val="Header"/>
      <w:tabs>
        <w:tab w:val="clear" w:pos="4513"/>
        <w:tab w:val="clear" w:pos="9026"/>
        <w:tab w:val="left" w:pos="2235"/>
      </w:tabs>
    </w:pPr>
    <w:r>
      <w:rPr>
        <w:noProof/>
        <w:lang w:eastAsia="zh-CN"/>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FC46" w14:textId="5FA9C18E" w:rsidR="009D6534" w:rsidRDefault="00A60459">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6DED132D" wp14:editId="4B893C6C">
              <wp:simplePos x="0" y="0"/>
              <wp:positionH relativeFrom="column">
                <wp:posOffset>5566787</wp:posOffset>
              </wp:positionH>
              <wp:positionV relativeFrom="paragraph">
                <wp:posOffset>-322127</wp:posOffset>
              </wp:positionV>
              <wp:extent cx="105029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240030"/>
                      </a:xfrm>
                      <a:prstGeom prst="rect">
                        <a:avLst/>
                      </a:prstGeom>
                      <a:noFill/>
                      <a:ln w="9525">
                        <a:noFill/>
                        <a:miter lim="800000"/>
                        <a:headEnd/>
                        <a:tailEnd/>
                      </a:ln>
                    </wps:spPr>
                    <wps:txbx>
                      <w:txbxContent>
                        <w:p w14:paraId="3B059897" w14:textId="77777777" w:rsidR="00A60459" w:rsidRDefault="00A60459" w:rsidP="00A60459">
                          <w:pPr>
                            <w:rPr>
                              <w:color w:val="767171" w:themeColor="background2" w:themeShade="80"/>
                              <w:sz w:val="16"/>
                              <w:szCs w:val="14"/>
                            </w:rPr>
                          </w:pPr>
                          <w:r>
                            <w:rPr>
                              <w:color w:val="767171" w:themeColor="background2" w:themeShade="80"/>
                              <w:sz w:val="16"/>
                              <w:szCs w:val="14"/>
                            </w:rPr>
                            <w:t>Simplified Chinese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DED132D" id="_x0000_t202" coordsize="21600,21600" o:spt="202" path="m,l,21600r21600,l21600,xe">
              <v:stroke joinstyle="miter"/>
              <v:path gradientshapeok="t" o:connecttype="rect"/>
            </v:shapetype>
            <v:shape id="Text Box 1" o:spid="_x0000_s1026" type="#_x0000_t202" style="position:absolute;margin-left:438.35pt;margin-top:-25.35pt;width:82.7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" filled="f" stroked="f">
              <v:textbox>
                <w:txbxContent>
                  <w:p w14:paraId="3B059897" w14:textId="77777777" w:rsidR="00A60459" w:rsidRDefault="00A60459" w:rsidP="00A60459">
                    <w:pPr>
                      <w:rPr>
                        <w:color w:val="767171" w:themeColor="background2" w:themeShade="80"/>
                        <w:sz w:val="16"/>
                        <w:szCs w:val="14"/>
                      </w:rPr>
                    </w:pPr>
                    <w:r>
                      <w:rPr>
                        <w:color w:val="767171" w:themeColor="background2" w:themeShade="80"/>
                        <w:sz w:val="16"/>
                        <w:szCs w:val="14"/>
                      </w:rPr>
                      <w:t>Simplified Chinese</w:t>
                    </w:r>
                  </w:p>
                </w:txbxContent>
              </v:textbox>
              <w10:wrap type="square"/>
            </v:shape>
          </w:pict>
        </mc:Fallback>
      </mc:AlternateContent>
    </w:r>
    <w:r w:rsidR="00725DB7">
      <w:rPr>
        <w:noProof/>
        <w:lang w:eastAsia="zh-CN"/>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eastAsia="zh-CN"/>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1E1F"/>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D6608"/>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48E4"/>
    <w:rsid w:val="007657C5"/>
    <w:rsid w:val="00767A1B"/>
    <w:rsid w:val="007705F2"/>
    <w:rsid w:val="007761FB"/>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B7E6F"/>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0459"/>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2C2D"/>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50FE"/>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providers/working-provider/delivering-capacity-building-employment-assistance"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ndis.gov.au/"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dis.gov.au/participants/finding-keeping-and-changing-job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57C5-5EB6-47B3-AB41-DBEFABAA6A89}"/>
</file>

<file path=customXml/itemProps2.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346</Words>
  <Characters>1975</Characters>
  <Application>Microsoft Office Word</Application>
  <DocSecurity>0</DocSecurity>
  <Lines>16</Lines>
  <Paragraphs>4</Paragraphs>
  <ScaleCrop>false</ScaleCrop>
  <Company>Department of Education Western Australia</Company>
  <LinksUpToDate>false</LinksUpToDate>
  <CharactersWithSpaces>2317</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54</cp:revision>
  <cp:lastPrinted>2023-02-25T08:01:00Z</cp:lastPrinted>
  <dcterms:created xsi:type="dcterms:W3CDTF">2025-11-04T15:40:00Z</dcterms:created>
  <dcterms:modified xsi:type="dcterms:W3CDTF">2026-04-13T22:09:00Z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