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8385" w14:textId="77777777" w:rsidR="00CB54C3" w:rsidRPr="00724086" w:rsidRDefault="00CB54C3" w:rsidP="00CC69FE">
      <w:pPr>
        <w:pStyle w:val="Title"/>
        <w:spacing w:before="84" w:after="0"/>
        <w:ind w:right="-2"/>
        <w:rPr>
          <w:rFonts w:asciiTheme="minorEastAsia" w:eastAsiaTheme="minorEastAsia" w:hAnsiTheme="minorEastAsia"/>
          <w:bCs/>
        </w:rPr>
      </w:pPr>
      <w:bookmarkStart w:id="0" w:name="_Hlk103166844"/>
      <w:bookmarkStart w:id="1" w:name="_Toc84334888"/>
      <w:r w:rsidRPr="00724086">
        <w:rPr>
          <w:rFonts w:asciiTheme="minorEastAsia" w:eastAsiaTheme="minorEastAsia" w:hAnsiTheme="minorEastAsia"/>
          <w:bCs/>
          <w:lang w:eastAsia="zh-HK"/>
        </w:rPr>
        <w:t>西澳大利亞州教育證書</w:t>
      </w:r>
    </w:p>
    <w:p w14:paraId="0B0DC4B8" w14:textId="2D58F194" w:rsidR="00CB54C3" w:rsidRPr="00724086" w:rsidRDefault="00CB54C3" w:rsidP="00CC69FE">
      <w:pPr>
        <w:pStyle w:val="Title"/>
        <w:ind w:right="-2"/>
        <w:rPr>
          <w:rFonts w:asciiTheme="minorEastAsia" w:eastAsiaTheme="minorEastAsia" w:hAnsiTheme="minorEastAsia"/>
          <w:b w:val="0"/>
          <w:color w:val="auto"/>
          <w:sz w:val="36"/>
        </w:rPr>
      </w:pPr>
      <w:r w:rsidRPr="00724086">
        <w:rPr>
          <w:rFonts w:asciiTheme="minorEastAsia" w:eastAsiaTheme="minorEastAsia" w:hAnsiTheme="minorEastAsia"/>
          <w:bCs/>
          <w:color w:val="auto"/>
          <w:sz w:val="36"/>
          <w:lang w:eastAsia="zh-HK"/>
        </w:rPr>
        <w:t>給父母及照顧者的資訊</w:t>
      </w:r>
    </w:p>
    <w:bookmarkEnd w:id="0"/>
    <w:bookmarkEnd w:id="1"/>
    <w:p w14:paraId="59E68BF3" w14:textId="649249B0" w:rsidR="00CB54C3" w:rsidRPr="00724086" w:rsidRDefault="00CB54C3" w:rsidP="005D1D94">
      <w:pPr>
        <w:pStyle w:val="Heading1"/>
        <w:spacing w:before="0" w:after="120"/>
        <w:rPr>
          <w:rFonts w:asciiTheme="minorEastAsia" w:hAnsiTheme="minorEastAsia"/>
          <w:spacing w:val="-4"/>
          <w:sz w:val="26"/>
          <w:szCs w:val="26"/>
        </w:rPr>
      </w:pPr>
      <w:r w:rsidRPr="00724086">
        <w:rPr>
          <w:rFonts w:asciiTheme="minorEastAsia" w:hAnsiTheme="minorEastAsia"/>
          <w:bCs/>
          <w:sz w:val="26"/>
          <w:szCs w:val="26"/>
          <w:lang w:eastAsia="zh-HK"/>
        </w:rPr>
        <w:t>WACE和WASSA</w:t>
      </w:r>
    </w:p>
    <w:p w14:paraId="7C93DB3D" w14:textId="49446D14" w:rsidR="00CB54C3" w:rsidRPr="00724086" w:rsidRDefault="00CB54C3" w:rsidP="005D1D94">
      <w:pPr>
        <w:widowControl w:val="0"/>
        <w:autoSpaceDE w:val="0"/>
        <w:autoSpaceDN w:val="0"/>
        <w:spacing w:before="1"/>
        <w:ind w:right="-2"/>
        <w:rPr>
          <w:rFonts w:asciiTheme="minorEastAsia" w:hAnsiTheme="minorEastAsia"/>
          <w:spacing w:val="-2"/>
          <w:szCs w:val="22"/>
          <w:lang w:eastAsia="zh-HK"/>
        </w:rPr>
      </w:pPr>
      <w:r w:rsidRPr="00724086">
        <w:rPr>
          <w:rFonts w:asciiTheme="minorEastAsia" w:hAnsiTheme="minorEastAsia"/>
          <w:szCs w:val="22"/>
          <w:lang w:eastAsia="zh-HK"/>
        </w:rPr>
        <w:t>西澳大利亞州教育證書（WACE）是在澳大利亞資格證書框架（Australian Qualifications Framework）中於全國範圍內受認可的高中證書。WACE頒發給成功完成2年高中教育並達到規定標準的學生。WACE受到大學、</w:t>
      </w:r>
      <w:r w:rsidRPr="00724086">
        <w:rPr>
          <w:rFonts w:asciiTheme="minorEastAsia" w:hAnsiTheme="minorEastAsia"/>
          <w:color w:val="FF0000"/>
          <w:szCs w:val="22"/>
          <w:lang w:eastAsia="zh-HK"/>
        </w:rPr>
        <w:t xml:space="preserve"> </w:t>
      </w:r>
      <w:r w:rsidRPr="00724086">
        <w:rPr>
          <w:rFonts w:asciiTheme="minorEastAsia" w:hAnsiTheme="minorEastAsia"/>
          <w:szCs w:val="22"/>
          <w:lang w:eastAsia="zh-HK"/>
        </w:rPr>
        <w:t>其他高等教育培訓機構和行業的認可。</w:t>
      </w:r>
    </w:p>
    <w:p w14:paraId="3378ECC0" w14:textId="77777777" w:rsidR="00513A27" w:rsidRPr="00724086" w:rsidRDefault="00513A27" w:rsidP="005D1D94">
      <w:pPr>
        <w:widowControl w:val="0"/>
        <w:autoSpaceDE w:val="0"/>
        <w:autoSpaceDN w:val="0"/>
        <w:spacing w:before="1"/>
        <w:ind w:right="-2"/>
        <w:rPr>
          <w:rFonts w:asciiTheme="minorEastAsia" w:hAnsiTheme="minorEastAsia"/>
          <w:szCs w:val="22"/>
          <w:lang w:eastAsia="zh-HK"/>
        </w:rPr>
      </w:pPr>
    </w:p>
    <w:p w14:paraId="1ACEFA1D" w14:textId="465790D1" w:rsidR="00513A27" w:rsidRPr="00724086" w:rsidRDefault="00CB54C3" w:rsidP="005D1D94">
      <w:pPr>
        <w:pStyle w:val="BodyText"/>
        <w:ind w:right="-2"/>
        <w:rPr>
          <w:rFonts w:asciiTheme="minorEastAsia" w:eastAsiaTheme="minorEastAsia" w:hAnsiTheme="minorEastAsia"/>
          <w:lang w:eastAsia="zh-HK"/>
        </w:rPr>
      </w:pPr>
      <w:r w:rsidRPr="00724086">
        <w:rPr>
          <w:rFonts w:asciiTheme="minorEastAsia" w:eastAsiaTheme="minorEastAsia" w:hAnsiTheme="minorEastAsia"/>
          <w:lang w:eastAsia="zh-HK"/>
        </w:rPr>
        <w:t>所有學生在完成12年級後都會收到西澳大利亞學生成績單（WASSA）。WASSA正式記錄學生在高中完成的每一門課程、資格證書和學習計劃的成績。</w:t>
      </w:r>
    </w:p>
    <w:p w14:paraId="0EF80CEA" w14:textId="759E0C2F" w:rsidR="005007C0" w:rsidRPr="00724086" w:rsidRDefault="005007C0" w:rsidP="00A8206D">
      <w:pPr>
        <w:pStyle w:val="BodyText"/>
        <w:ind w:right="-2"/>
        <w:rPr>
          <w:rFonts w:asciiTheme="minorEastAsia" w:eastAsiaTheme="minorEastAsia" w:hAnsiTheme="minorEastAsia"/>
          <w:lang w:eastAsia="zh-HK"/>
        </w:rPr>
      </w:pPr>
    </w:p>
    <w:p w14:paraId="089789EE" w14:textId="54657AA6" w:rsidR="00217461" w:rsidRPr="00724086" w:rsidRDefault="00217461" w:rsidP="00DB16A8">
      <w:pPr>
        <w:pStyle w:val="Heading1"/>
        <w:spacing w:before="0" w:after="120"/>
        <w:ind w:right="-2"/>
        <w:rPr>
          <w:rFonts w:asciiTheme="minorEastAsia" w:hAnsiTheme="minorEastAsia"/>
          <w:sz w:val="26"/>
          <w:szCs w:val="26"/>
          <w:lang w:eastAsia="zh-CN"/>
        </w:rPr>
      </w:pPr>
      <w:r w:rsidRPr="00724086">
        <w:rPr>
          <w:rFonts w:asciiTheme="minorEastAsia" w:hAnsiTheme="minorEastAsia"/>
          <w:bCs/>
          <w:sz w:val="26"/>
          <w:szCs w:val="26"/>
          <w:lang w:eastAsia="zh-HK"/>
        </w:rPr>
        <w:t>WACE有哪些要求？</w:t>
      </w:r>
    </w:p>
    <w:p w14:paraId="3B908429" w14:textId="260DB322" w:rsidR="005C3D20" w:rsidRPr="00724086" w:rsidRDefault="00217461" w:rsidP="00DB16A8">
      <w:pPr>
        <w:tabs>
          <w:tab w:val="left" w:pos="426"/>
        </w:tabs>
        <w:ind w:right="-2"/>
        <w:rPr>
          <w:rFonts w:asciiTheme="minorEastAsia" w:hAnsiTheme="minorEastAsia"/>
          <w:lang w:eastAsia="zh-CN"/>
        </w:rPr>
      </w:pPr>
      <w:r w:rsidRPr="00724086">
        <w:rPr>
          <w:rFonts w:asciiTheme="minorEastAsia" w:hAnsiTheme="minorEastAsia"/>
          <w:lang w:eastAsia="zh-HK"/>
        </w:rPr>
        <w:t>如要获得WACE，学生必须：</w:t>
      </w:r>
    </w:p>
    <w:p w14:paraId="5F171CAE" w14:textId="55176885" w:rsidR="00BF3E72" w:rsidRPr="00724086" w:rsidRDefault="00BF3E72" w:rsidP="00DB16A8">
      <w:pPr>
        <w:pStyle w:val="ListParagraph"/>
        <w:widowControl w:val="0"/>
        <w:numPr>
          <w:ilvl w:val="0"/>
          <w:numId w:val="23"/>
        </w:numPr>
        <w:autoSpaceDE w:val="0"/>
        <w:autoSpaceDN w:val="0"/>
        <w:ind w:right="-2"/>
        <w:rPr>
          <w:rFonts w:asciiTheme="minorEastAsia" w:hAnsiTheme="minorEastAsia"/>
        </w:rPr>
      </w:pPr>
      <w:r w:rsidRPr="00724086">
        <w:rPr>
          <w:rFonts w:asciiTheme="minorEastAsia" w:hAnsiTheme="minorEastAsia"/>
          <w:lang w:eastAsia="zh-HK"/>
        </w:rPr>
        <w:t>完成至少20個科目，或同等課業</w:t>
      </w:r>
    </w:p>
    <w:p w14:paraId="7EBBCDD9" w14:textId="64E5CDDA" w:rsidR="00217461" w:rsidRPr="00724086" w:rsidRDefault="000129D8" w:rsidP="00DB16A8">
      <w:pPr>
        <w:pStyle w:val="ListParagraph"/>
        <w:widowControl w:val="0"/>
        <w:numPr>
          <w:ilvl w:val="0"/>
          <w:numId w:val="23"/>
        </w:numPr>
        <w:autoSpaceDE w:val="0"/>
        <w:autoSpaceDN w:val="0"/>
        <w:ind w:right="-2"/>
        <w:rPr>
          <w:rFonts w:asciiTheme="minorEastAsia" w:hAnsiTheme="minorEastAsia"/>
        </w:rPr>
      </w:pPr>
      <w:r w:rsidRPr="00724086">
        <w:rPr>
          <w:rFonts w:asciiTheme="minorEastAsia" w:hAnsiTheme="minorEastAsia"/>
          <w:szCs w:val="22"/>
          <w:lang w:eastAsia="zh-HK"/>
        </w:rPr>
        <w:t>完成</w:t>
      </w:r>
      <w:r w:rsidRPr="00724086">
        <w:rPr>
          <w:rFonts w:asciiTheme="minorEastAsia" w:hAnsiTheme="minorEastAsia"/>
          <w:lang w:eastAsia="zh-HK"/>
        </w:rPr>
        <w:t>3個課程組合之一：</w:t>
      </w:r>
    </w:p>
    <w:p w14:paraId="05D5029C" w14:textId="79B0F2A1" w:rsidR="00217461" w:rsidRPr="00724086" w:rsidRDefault="00217461" w:rsidP="00DE60C0">
      <w:pPr>
        <w:pStyle w:val="ListParagraph"/>
        <w:numPr>
          <w:ilvl w:val="0"/>
          <w:numId w:val="21"/>
        </w:numPr>
        <w:tabs>
          <w:tab w:val="clear" w:pos="2041"/>
          <w:tab w:val="left" w:pos="1578"/>
        </w:tabs>
        <w:ind w:left="1020" w:right="-2" w:hanging="283"/>
        <w:rPr>
          <w:rFonts w:asciiTheme="minorEastAsia" w:hAnsiTheme="minorEastAsia"/>
        </w:rPr>
      </w:pPr>
      <w:r w:rsidRPr="00724086">
        <w:rPr>
          <w:rFonts w:asciiTheme="minorEastAsia" w:hAnsiTheme="minorEastAsia"/>
          <w:lang w:eastAsia="zh-HK"/>
        </w:rPr>
        <w:t>至少4門12年級的ATAR課程</w:t>
      </w:r>
    </w:p>
    <w:p w14:paraId="3013C6BC" w14:textId="5C290B5D" w:rsidR="00BF3E72" w:rsidRPr="00724086" w:rsidRDefault="00BF3E72" w:rsidP="00DE60C0">
      <w:pPr>
        <w:pStyle w:val="ListParagraph"/>
        <w:numPr>
          <w:ilvl w:val="0"/>
          <w:numId w:val="21"/>
        </w:numPr>
        <w:tabs>
          <w:tab w:val="clear" w:pos="2041"/>
          <w:tab w:val="left" w:pos="1578"/>
        </w:tabs>
        <w:ind w:left="1020" w:right="-2" w:hanging="283"/>
        <w:rPr>
          <w:rFonts w:asciiTheme="minorEastAsia" w:hAnsiTheme="minorEastAsia"/>
        </w:rPr>
      </w:pPr>
      <w:r w:rsidRPr="00724086">
        <w:rPr>
          <w:rFonts w:asciiTheme="minorEastAsia" w:hAnsiTheme="minorEastAsia"/>
          <w:lang w:eastAsia="zh-HK"/>
        </w:rPr>
        <w:t>至少5門12年級普通課程（或普通課程和最多3門12年級ATAR課程的組合）或同等課業</w:t>
      </w:r>
    </w:p>
    <w:p w14:paraId="261AE246" w14:textId="0DC8A16F" w:rsidR="00217461" w:rsidRPr="00724086" w:rsidRDefault="00217461" w:rsidP="00DE60C0">
      <w:pPr>
        <w:pStyle w:val="ListParagraph"/>
        <w:numPr>
          <w:ilvl w:val="0"/>
          <w:numId w:val="21"/>
        </w:numPr>
        <w:tabs>
          <w:tab w:val="clear" w:pos="2041"/>
          <w:tab w:val="left" w:pos="1578"/>
        </w:tabs>
        <w:ind w:left="1020" w:right="-2" w:hanging="283"/>
        <w:rPr>
          <w:rFonts w:asciiTheme="minorEastAsia" w:hAnsiTheme="minorEastAsia"/>
        </w:rPr>
      </w:pPr>
      <w:r w:rsidRPr="00724086">
        <w:rPr>
          <w:rFonts w:asciiTheme="minorEastAsia" w:hAnsiTheme="minorEastAsia"/>
          <w:lang w:eastAsia="zh-HK"/>
        </w:rPr>
        <w:t>完成II級（或更高）VET資格證書，並結合ATAR、普通或基礎課程。</w:t>
      </w:r>
    </w:p>
    <w:p w14:paraId="70675624" w14:textId="0CA9C4D4" w:rsidR="00217461" w:rsidRPr="00724086" w:rsidRDefault="00BF3E72" w:rsidP="00BF3E72">
      <w:pPr>
        <w:pStyle w:val="ListParagraph"/>
        <w:numPr>
          <w:ilvl w:val="0"/>
          <w:numId w:val="23"/>
        </w:numPr>
        <w:tabs>
          <w:tab w:val="left" w:pos="426"/>
        </w:tabs>
        <w:ind w:right="-2"/>
        <w:rPr>
          <w:rFonts w:asciiTheme="minorEastAsia" w:hAnsiTheme="minorEastAsia"/>
        </w:rPr>
      </w:pPr>
      <w:r w:rsidRPr="00724086">
        <w:rPr>
          <w:rFonts w:asciiTheme="minorEastAsia" w:hAnsiTheme="minorEastAsia"/>
          <w:lang w:eastAsia="zh-HK"/>
        </w:rPr>
        <w:t>最低英語文化程度標準和最低算術能力標準</w:t>
      </w:r>
    </w:p>
    <w:p w14:paraId="77CCE581" w14:textId="7A3C31E2" w:rsidR="00C1212C" w:rsidRPr="00724086" w:rsidRDefault="000129D8" w:rsidP="00DB16A8">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滿足學習廣度和深度的要求</w:t>
      </w:r>
    </w:p>
    <w:p w14:paraId="13F19B08" w14:textId="2DA5E420" w:rsidR="00CC69FE" w:rsidRPr="00724086" w:rsidRDefault="000129D8" w:rsidP="00DE60C0">
      <w:pPr>
        <w:pStyle w:val="ListParagraph"/>
        <w:widowControl w:val="0"/>
        <w:numPr>
          <w:ilvl w:val="0"/>
          <w:numId w:val="23"/>
        </w:numPr>
        <w:autoSpaceDE w:val="0"/>
        <w:autoSpaceDN w:val="0"/>
        <w:ind w:left="723" w:right="-2"/>
        <w:rPr>
          <w:rFonts w:asciiTheme="minorEastAsia" w:hAnsiTheme="minorEastAsia"/>
          <w:szCs w:val="22"/>
        </w:rPr>
      </w:pPr>
      <w:r w:rsidRPr="00724086">
        <w:rPr>
          <w:rFonts w:asciiTheme="minorEastAsia" w:hAnsiTheme="minorEastAsia"/>
          <w:szCs w:val="22"/>
          <w:lang w:eastAsia="zh-HK"/>
        </w:rPr>
        <w:t>在11年級和12年級至少取得14個C或更高的成績，其中12年級至少取得6個C（或同等水準）。</w:t>
      </w:r>
    </w:p>
    <w:p w14:paraId="4B466EEB" w14:textId="5419F457" w:rsidR="00CB54C3" w:rsidRPr="00724086" w:rsidRDefault="00CB54C3" w:rsidP="00DB16A8">
      <w:pPr>
        <w:pStyle w:val="ListParagraph"/>
        <w:widowControl w:val="0"/>
        <w:autoSpaceDE w:val="0"/>
        <w:autoSpaceDN w:val="0"/>
        <w:ind w:left="0" w:right="-2" w:firstLine="0"/>
        <w:rPr>
          <w:rFonts w:asciiTheme="minorEastAsia" w:hAnsiTheme="minorEastAsia"/>
        </w:rPr>
      </w:pPr>
    </w:p>
    <w:p w14:paraId="54E812FE" w14:textId="756FEEE0" w:rsidR="00217461" w:rsidRPr="00724086" w:rsidRDefault="00217461" w:rsidP="00DB16A8">
      <w:pPr>
        <w:pStyle w:val="Heading1"/>
        <w:spacing w:before="0" w:after="120"/>
        <w:ind w:right="-2"/>
        <w:rPr>
          <w:rFonts w:asciiTheme="minorEastAsia" w:hAnsiTheme="minorEastAsia"/>
          <w:sz w:val="26"/>
          <w:szCs w:val="26"/>
        </w:rPr>
      </w:pPr>
      <w:r w:rsidRPr="00724086">
        <w:rPr>
          <w:rFonts w:asciiTheme="minorEastAsia" w:hAnsiTheme="minorEastAsia"/>
          <w:bCs/>
          <w:sz w:val="26"/>
          <w:szCs w:val="26"/>
          <w:lang w:eastAsia="zh-HK"/>
        </w:rPr>
        <w:t>WACE有哪些學習選項？</w:t>
      </w:r>
    </w:p>
    <w:p w14:paraId="662D89C4" w14:textId="55A9E1F0" w:rsidR="00217461" w:rsidRPr="00724086" w:rsidRDefault="00217461" w:rsidP="00DB16A8">
      <w:pPr>
        <w:ind w:right="-2"/>
        <w:rPr>
          <w:rFonts w:asciiTheme="minorEastAsia" w:hAnsiTheme="minorEastAsia"/>
        </w:rPr>
      </w:pPr>
      <w:r w:rsidRPr="00724086">
        <w:rPr>
          <w:rFonts w:asciiTheme="minorEastAsia" w:hAnsiTheme="minorEastAsia"/>
          <w:lang w:eastAsia="zh-HK"/>
        </w:rPr>
        <w:t>學生有3種學習方案可供選擇，這些方案可以混合搭配，其中包括：</w:t>
      </w:r>
    </w:p>
    <w:p w14:paraId="7C0B08D4" w14:textId="3C0D0727" w:rsidR="00217461" w:rsidRPr="00724086" w:rsidRDefault="00217461" w:rsidP="00DB16A8">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WACE課程，包括ATAR、普通或基礎課程</w:t>
      </w:r>
    </w:p>
    <w:p w14:paraId="7FB481FB" w14:textId="336A35C1" w:rsidR="00DB16A8" w:rsidRPr="00724086" w:rsidRDefault="00217461" w:rsidP="00DB16A8">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VET資格證書</w:t>
      </w:r>
    </w:p>
    <w:p w14:paraId="25FD920D" w14:textId="0C9D0396" w:rsidR="00CE4E68" w:rsidRPr="00724086" w:rsidRDefault="00217461" w:rsidP="00DB16A8">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受認可的學習計劃。</w:t>
      </w:r>
    </w:p>
    <w:p w14:paraId="3A0263CE" w14:textId="77777777" w:rsidR="00CE4E68" w:rsidRPr="00724086" w:rsidRDefault="00CE4E68" w:rsidP="00DB16A8">
      <w:pPr>
        <w:pStyle w:val="ListParagraph"/>
        <w:widowControl w:val="0"/>
        <w:autoSpaceDE w:val="0"/>
        <w:autoSpaceDN w:val="0"/>
        <w:ind w:left="720" w:right="-2" w:firstLine="0"/>
        <w:rPr>
          <w:rFonts w:asciiTheme="minorEastAsia" w:hAnsiTheme="minorEastAsia"/>
          <w:szCs w:val="22"/>
        </w:rPr>
      </w:pPr>
    </w:p>
    <w:p w14:paraId="48FBDD72" w14:textId="3DEBB656" w:rsidR="00217461" w:rsidRPr="00724086" w:rsidRDefault="00217461" w:rsidP="00DB16A8">
      <w:pPr>
        <w:pStyle w:val="Heading1"/>
        <w:spacing w:before="0" w:after="120"/>
        <w:ind w:right="-2"/>
        <w:rPr>
          <w:rFonts w:asciiTheme="minorEastAsia" w:hAnsiTheme="minorEastAsia"/>
          <w:spacing w:val="-2"/>
          <w:sz w:val="22"/>
          <w:szCs w:val="22"/>
        </w:rPr>
      </w:pPr>
      <w:r w:rsidRPr="00724086">
        <w:rPr>
          <w:rFonts w:asciiTheme="minorEastAsia" w:hAnsiTheme="minorEastAsia"/>
          <w:bCs/>
          <w:lang w:eastAsia="zh-HK"/>
        </w:rPr>
        <w:t>英語文化程度和算術能力標準要求</w:t>
      </w:r>
    </w:p>
    <w:p w14:paraId="016B28E6" w14:textId="77777777" w:rsidR="00217461" w:rsidRPr="00724086" w:rsidRDefault="00217461" w:rsidP="00DB16A8">
      <w:pPr>
        <w:widowControl w:val="0"/>
        <w:autoSpaceDE w:val="0"/>
        <w:autoSpaceDN w:val="0"/>
        <w:ind w:right="-2"/>
        <w:rPr>
          <w:rFonts w:asciiTheme="minorEastAsia" w:hAnsiTheme="minorEastAsia"/>
          <w:szCs w:val="22"/>
        </w:rPr>
      </w:pPr>
      <w:r w:rsidRPr="00724086">
        <w:rPr>
          <w:rFonts w:asciiTheme="minorEastAsia" w:hAnsiTheme="minorEastAsia"/>
          <w:szCs w:val="22"/>
          <w:lang w:eastAsia="zh-HK"/>
        </w:rPr>
        <w:t>學生必須透過以下方式證明達到最低的英語文化程度和算術能力標準：</w:t>
      </w:r>
    </w:p>
    <w:p w14:paraId="0247AC51" w14:textId="67FAF5D6" w:rsidR="00986D50" w:rsidRPr="00724086" w:rsidRDefault="00BE6BBC" w:rsidP="003D78FD">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lang w:eastAsia="zh-HK"/>
        </w:rPr>
        <w:t xml:space="preserve">參加9年級國家評估計劃 ——英語文化程度和算術能力（NAPLAN）考核，透過閱讀、寫作和算術測試預先獲得資格 </w:t>
      </w:r>
    </w:p>
    <w:p w14:paraId="2D4E5A99" w14:textId="21B60F5A" w:rsidR="00CC69FE" w:rsidRPr="00724086" w:rsidRDefault="00217461" w:rsidP="00DB16A8">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成功完成在線（英語）文化程度和算術能力評估（OLNA）</w:t>
      </w:r>
    </w:p>
    <w:p w14:paraId="196DE0C8" w14:textId="3DB9F0F8" w:rsidR="00986D50" w:rsidRPr="00724086" w:rsidRDefault="00724086" w:rsidP="008C4588">
      <w:pPr>
        <w:pStyle w:val="ListParagraph"/>
        <w:widowControl w:val="0"/>
        <w:autoSpaceDE w:val="0"/>
        <w:autoSpaceDN w:val="0"/>
        <w:ind w:left="720" w:right="-2" w:firstLine="0"/>
        <w:rPr>
          <w:rFonts w:asciiTheme="minorEastAsia" w:hAnsiTheme="minorEastAsia"/>
          <w:szCs w:val="22"/>
        </w:rPr>
      </w:pPr>
      <w:hyperlink r:id="rId13" w:history="1">
        <w:r w:rsidR="00986D50" w:rsidRPr="00724086">
          <w:rPr>
            <w:rStyle w:val="Hyperlink"/>
            <w:rFonts w:asciiTheme="minorEastAsia" w:hAnsiTheme="minorEastAsia"/>
            <w:lang w:eastAsia="zh-HK"/>
          </w:rPr>
          <w:t>https://senior-secondary.scsa.wa.edu.au/assessment/olna/prequalification-through-naplan</w:t>
        </w:r>
      </w:hyperlink>
    </w:p>
    <w:p w14:paraId="43974286" w14:textId="6D36B1E6" w:rsidR="00046A0A" w:rsidRPr="00724086" w:rsidRDefault="00046A0A" w:rsidP="00DB16A8">
      <w:pPr>
        <w:pStyle w:val="ListParagraph"/>
        <w:widowControl w:val="0"/>
        <w:autoSpaceDE w:val="0"/>
        <w:autoSpaceDN w:val="0"/>
        <w:ind w:left="720" w:right="-2" w:firstLine="0"/>
        <w:rPr>
          <w:rFonts w:asciiTheme="minorEastAsia" w:hAnsiTheme="minorEastAsia"/>
          <w:szCs w:val="22"/>
        </w:rPr>
      </w:pPr>
    </w:p>
    <w:p w14:paraId="576B1D29" w14:textId="77777777" w:rsidR="00EC285C" w:rsidRPr="00724086" w:rsidRDefault="00EC285C" w:rsidP="00DB16A8">
      <w:pPr>
        <w:pStyle w:val="Heading1"/>
        <w:spacing w:before="0" w:after="0"/>
        <w:rPr>
          <w:rFonts w:asciiTheme="minorEastAsia" w:hAnsiTheme="minorEastAsia"/>
        </w:rPr>
      </w:pPr>
    </w:p>
    <w:p w14:paraId="3E99A7EB" w14:textId="77777777" w:rsidR="00EB01BE" w:rsidRPr="00724086" w:rsidRDefault="00EB01BE" w:rsidP="00DB16A8">
      <w:pPr>
        <w:pStyle w:val="Heading1"/>
        <w:spacing w:before="0" w:after="0"/>
        <w:rPr>
          <w:rFonts w:asciiTheme="minorEastAsia" w:hAnsiTheme="minorEastAsia"/>
        </w:rPr>
        <w:sectPr w:rsidR="00EB01BE" w:rsidRPr="00724086" w:rsidSect="00E14A06">
          <w:headerReference w:type="default" r:id="rId14"/>
          <w:footerReference w:type="default" r:id="rId15"/>
          <w:headerReference w:type="first" r:id="rId16"/>
          <w:footerReference w:type="first" r:id="rId17"/>
          <w:pgSz w:w="11906" w:h="16838"/>
          <w:pgMar w:top="1276" w:right="1418" w:bottom="1559" w:left="1418" w:header="709" w:footer="510" w:gutter="0"/>
          <w:cols w:space="708"/>
          <w:titlePg/>
          <w:docGrid w:linePitch="360"/>
        </w:sectPr>
      </w:pPr>
    </w:p>
    <w:p w14:paraId="554F1240" w14:textId="434AA209" w:rsidR="00217461" w:rsidRPr="00724086" w:rsidRDefault="00217461" w:rsidP="00DB16A8">
      <w:pPr>
        <w:pStyle w:val="Heading1"/>
        <w:spacing w:before="0" w:after="0"/>
        <w:rPr>
          <w:rFonts w:asciiTheme="minorEastAsia" w:hAnsiTheme="minorEastAsia"/>
          <w:spacing w:val="-2"/>
          <w:sz w:val="22"/>
          <w:szCs w:val="22"/>
        </w:rPr>
      </w:pPr>
      <w:r w:rsidRPr="00724086">
        <w:rPr>
          <w:rFonts w:asciiTheme="minorEastAsia" w:hAnsiTheme="minorEastAsia"/>
          <w:bCs/>
          <w:lang w:eastAsia="zh-HK"/>
        </w:rPr>
        <w:lastRenderedPageBreak/>
        <w:t>廣度和深度要求</w:t>
      </w:r>
    </w:p>
    <w:p w14:paraId="557BF757" w14:textId="77777777" w:rsidR="00217461" w:rsidRPr="00724086" w:rsidRDefault="00217461" w:rsidP="00DB16A8">
      <w:pPr>
        <w:widowControl w:val="0"/>
        <w:autoSpaceDE w:val="0"/>
        <w:autoSpaceDN w:val="0"/>
        <w:spacing w:before="120"/>
        <w:ind w:right="-2"/>
        <w:rPr>
          <w:rFonts w:asciiTheme="minorEastAsia" w:hAnsiTheme="minorEastAsia"/>
          <w:szCs w:val="22"/>
        </w:rPr>
      </w:pPr>
      <w:r w:rsidRPr="00724086">
        <w:rPr>
          <w:rFonts w:asciiTheme="minorEastAsia" w:hAnsiTheme="minorEastAsia"/>
          <w:szCs w:val="22"/>
          <w:lang w:eastAsia="zh-HK"/>
        </w:rPr>
        <w:t>學生在高中階段必須完成至少20個科目，其中包括：</w:t>
      </w:r>
    </w:p>
    <w:p w14:paraId="0FCCB97F" w14:textId="131AA13C" w:rsidR="00217461" w:rsidRPr="00724086" w:rsidRDefault="00217461" w:rsidP="00DB16A8">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至少10個12年級科目，或同等課業（包括受認可的課程和/或VET）</w:t>
      </w:r>
    </w:p>
    <w:p w14:paraId="203FCFB2" w14:textId="6653A463" w:rsidR="00C17BF9" w:rsidRPr="00724086" w:rsidRDefault="00DB16A8" w:rsidP="00DB16A8">
      <w:pPr>
        <w:pStyle w:val="ListParagraph"/>
        <w:widowControl w:val="0"/>
        <w:numPr>
          <w:ilvl w:val="0"/>
          <w:numId w:val="23"/>
        </w:numPr>
        <w:autoSpaceDE w:val="0"/>
        <w:autoSpaceDN w:val="0"/>
        <w:ind w:left="723" w:right="-2"/>
        <w:rPr>
          <w:rFonts w:asciiTheme="minorEastAsia" w:hAnsiTheme="minorEastAsia"/>
          <w:szCs w:val="22"/>
        </w:rPr>
      </w:pPr>
      <w:r w:rsidRPr="00724086">
        <w:rPr>
          <w:rFonts w:asciiTheme="minorEastAsia" w:hAnsiTheme="minorEastAsia"/>
          <w:szCs w:val="22"/>
          <w:lang w:eastAsia="zh-HK"/>
        </w:rPr>
        <w:t>10年級后，英語學習領域課程中的4個科目，包括12年級英語學習領域課程中的至少一對科目</w:t>
      </w:r>
    </w:p>
    <w:p w14:paraId="4B0F9E27" w14:textId="05CB724D" w:rsidR="00C17BF9" w:rsidRPr="00724086" w:rsidRDefault="00C17BF9" w:rsidP="00DB16A8">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列表A（藝術、語言、社會科學）中的一對12年級科目</w:t>
      </w:r>
    </w:p>
    <w:p w14:paraId="31332ABE" w14:textId="7683FD77" w:rsidR="00C17BF9" w:rsidRPr="00724086" w:rsidRDefault="00C17BF9" w:rsidP="00DB16A8">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列表B（數學、科學、技術）中的一對12年級科目。</w:t>
      </w:r>
    </w:p>
    <w:p w14:paraId="6C8AC234" w14:textId="77777777" w:rsidR="00BF391F" w:rsidRPr="00724086" w:rsidRDefault="00BF391F" w:rsidP="00BF391F">
      <w:pPr>
        <w:pStyle w:val="Heading1"/>
        <w:spacing w:before="0" w:after="0"/>
        <w:ind w:right="-2"/>
        <w:rPr>
          <w:rFonts w:asciiTheme="minorEastAsia" w:hAnsiTheme="minorEastAsia"/>
          <w:sz w:val="22"/>
          <w:szCs w:val="22"/>
        </w:rPr>
      </w:pPr>
    </w:p>
    <w:p w14:paraId="3CD624E7" w14:textId="51F5D711" w:rsidR="00C17BF9" w:rsidRPr="00724086" w:rsidRDefault="00C17BF9" w:rsidP="00A8206D">
      <w:pPr>
        <w:pStyle w:val="Heading1"/>
        <w:spacing w:before="0" w:after="120"/>
        <w:ind w:right="-2"/>
        <w:rPr>
          <w:rFonts w:asciiTheme="minorEastAsia" w:hAnsiTheme="minorEastAsia"/>
          <w:sz w:val="22"/>
          <w:szCs w:val="22"/>
        </w:rPr>
      </w:pPr>
      <w:r w:rsidRPr="00724086">
        <w:rPr>
          <w:rFonts w:asciiTheme="minorEastAsia" w:hAnsiTheme="minorEastAsia"/>
          <w:bCs/>
          <w:lang w:eastAsia="zh-HK"/>
        </w:rPr>
        <w:t>成績標準要求</w:t>
      </w:r>
    </w:p>
    <w:p w14:paraId="3C4E0A6A" w14:textId="33F91BCF" w:rsidR="00FB251D" w:rsidRPr="00724086" w:rsidRDefault="00C17BF9" w:rsidP="00175F06">
      <w:pPr>
        <w:widowControl w:val="0"/>
        <w:autoSpaceDE w:val="0"/>
        <w:autoSpaceDN w:val="0"/>
        <w:ind w:right="-2"/>
        <w:rPr>
          <w:rFonts w:asciiTheme="minorEastAsia" w:hAnsiTheme="minorEastAsia"/>
          <w:szCs w:val="22"/>
        </w:rPr>
      </w:pPr>
      <w:r w:rsidRPr="00724086">
        <w:rPr>
          <w:rFonts w:asciiTheme="minorEastAsia" w:hAnsiTheme="minorEastAsia"/>
          <w:szCs w:val="22"/>
          <w:lang w:eastAsia="zh-HK"/>
        </w:rPr>
        <w:t>在11年級和12年級的科目中至少取得14個C或同等水準，其中12年級的科目中至少取得6個C或同等水準。</w:t>
      </w:r>
    </w:p>
    <w:p w14:paraId="76AC966F" w14:textId="77777777" w:rsidR="00A8206D" w:rsidRPr="00724086" w:rsidRDefault="00A8206D" w:rsidP="00175F06">
      <w:pPr>
        <w:widowControl w:val="0"/>
        <w:autoSpaceDE w:val="0"/>
        <w:autoSpaceDN w:val="0"/>
        <w:ind w:right="-2"/>
        <w:rPr>
          <w:rFonts w:asciiTheme="minorEastAsia" w:hAnsiTheme="minorEastAsia"/>
          <w:szCs w:val="22"/>
        </w:rPr>
      </w:pPr>
    </w:p>
    <w:p w14:paraId="382EA2D0" w14:textId="53D8BABF" w:rsidR="00CE0374" w:rsidRPr="00724086" w:rsidRDefault="00CE0374" w:rsidP="00A8206D">
      <w:pPr>
        <w:pStyle w:val="Heading1"/>
        <w:spacing w:before="0" w:after="120"/>
        <w:rPr>
          <w:rFonts w:asciiTheme="minorEastAsia" w:hAnsiTheme="minorEastAsia"/>
        </w:rPr>
      </w:pPr>
      <w:r w:rsidRPr="00724086">
        <w:rPr>
          <w:rFonts w:asciiTheme="minorEastAsia" w:hAnsiTheme="minorEastAsia"/>
          <w:bCs/>
          <w:lang w:eastAsia="zh-HK"/>
        </w:rPr>
        <w:t>資源</w:t>
      </w:r>
    </w:p>
    <w:p w14:paraId="5A3FC42E" w14:textId="5158666D" w:rsidR="00CE0374" w:rsidRPr="00724086" w:rsidRDefault="00CE0374" w:rsidP="00175F06">
      <w:pPr>
        <w:widowControl w:val="0"/>
        <w:autoSpaceDE w:val="0"/>
        <w:autoSpaceDN w:val="0"/>
        <w:ind w:right="-2"/>
        <w:rPr>
          <w:rFonts w:asciiTheme="minorEastAsia" w:hAnsiTheme="minorEastAsia"/>
          <w:szCs w:val="22"/>
        </w:rPr>
      </w:pPr>
      <w:r w:rsidRPr="00724086">
        <w:rPr>
          <w:rFonts w:asciiTheme="minorEastAsia" w:hAnsiTheme="minorEastAsia"/>
          <w:szCs w:val="22"/>
          <w:lang w:eastAsia="zh-HK"/>
        </w:rPr>
        <w:t>SCSA有一個專門的家長和社區網站，提供有關以下內容的資訊：</w:t>
      </w:r>
    </w:p>
    <w:p w14:paraId="2563E4D6" w14:textId="2442FAAD" w:rsidR="00C1212C" w:rsidRPr="00724086" w:rsidRDefault="00C1212C" w:rsidP="00A8206D">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兒童和青年人應該學習什麼</w:t>
      </w:r>
    </w:p>
    <w:p w14:paraId="2E64F2E1" w14:textId="0824AB8A" w:rsidR="00986D50" w:rsidRPr="00724086" w:rsidRDefault="00C1212C" w:rsidP="00A8206D">
      <w:pPr>
        <w:pStyle w:val="ListParagraph"/>
        <w:widowControl w:val="0"/>
        <w:numPr>
          <w:ilvl w:val="0"/>
          <w:numId w:val="23"/>
        </w:numPr>
        <w:autoSpaceDE w:val="0"/>
        <w:autoSpaceDN w:val="0"/>
        <w:ind w:right="-2"/>
        <w:rPr>
          <w:rFonts w:asciiTheme="minorEastAsia" w:hAnsiTheme="minorEastAsia"/>
          <w:szCs w:val="22"/>
        </w:rPr>
      </w:pPr>
      <w:r w:rsidRPr="00724086">
        <w:rPr>
          <w:rFonts w:asciiTheme="minorEastAsia" w:hAnsiTheme="minorEastAsia"/>
          <w:szCs w:val="22"/>
          <w:lang w:eastAsia="zh-HK"/>
        </w:rPr>
        <w:t>如何對他們進行評估</w:t>
      </w:r>
    </w:p>
    <w:p w14:paraId="7398D533" w14:textId="143FC854" w:rsidR="00986D50" w:rsidRPr="00724086" w:rsidRDefault="00C1212C" w:rsidP="008C4588">
      <w:pPr>
        <w:pStyle w:val="ListParagraph"/>
        <w:widowControl w:val="0"/>
        <w:numPr>
          <w:ilvl w:val="0"/>
          <w:numId w:val="23"/>
        </w:numPr>
        <w:autoSpaceDE w:val="0"/>
        <w:autoSpaceDN w:val="0"/>
        <w:ind w:right="-2"/>
        <w:rPr>
          <w:rFonts w:asciiTheme="minorEastAsia" w:hAnsiTheme="minorEastAsia"/>
        </w:rPr>
      </w:pPr>
      <w:r w:rsidRPr="00724086">
        <w:rPr>
          <w:rFonts w:asciiTheme="minorEastAsia" w:hAnsiTheme="minorEastAsia"/>
          <w:szCs w:val="22"/>
          <w:lang w:eastAsia="zh-HK"/>
        </w:rPr>
        <w:t>兒童和青年人在每個年級應達到的標準。</w:t>
      </w:r>
    </w:p>
    <w:p w14:paraId="37EFA7D1" w14:textId="6A33BE5A" w:rsidR="00C1212C" w:rsidRPr="00724086" w:rsidRDefault="00724086" w:rsidP="008C4588">
      <w:pPr>
        <w:pStyle w:val="ListParagraph"/>
        <w:widowControl w:val="0"/>
        <w:tabs>
          <w:tab w:val="clear" w:pos="1361"/>
          <w:tab w:val="left" w:pos="709"/>
        </w:tabs>
        <w:autoSpaceDE w:val="0"/>
        <w:autoSpaceDN w:val="0"/>
        <w:ind w:left="1361" w:right="-2" w:hanging="652"/>
        <w:rPr>
          <w:rFonts w:asciiTheme="minorEastAsia" w:hAnsiTheme="minorEastAsia"/>
          <w:szCs w:val="22"/>
        </w:rPr>
      </w:pPr>
      <w:hyperlink r:id="rId18" w:history="1">
        <w:r w:rsidR="00986D50" w:rsidRPr="00724086">
          <w:rPr>
            <w:rStyle w:val="Hyperlink"/>
            <w:rFonts w:asciiTheme="minorEastAsia" w:hAnsiTheme="minorEastAsia"/>
            <w:szCs w:val="22"/>
            <w:lang w:eastAsia="zh-HK"/>
          </w:rPr>
          <w:t>https://parent.scsa.wa.edu.au/</w:t>
        </w:r>
      </w:hyperlink>
      <w:r w:rsidR="00986D50" w:rsidRPr="00724086">
        <w:rPr>
          <w:rFonts w:asciiTheme="minorEastAsia" w:hAnsiTheme="minorEastAsia"/>
          <w:szCs w:val="22"/>
          <w:lang w:eastAsia="zh-HK"/>
        </w:rPr>
        <w:t xml:space="preserve">   </w:t>
      </w:r>
    </w:p>
    <w:sectPr w:rsidR="00C1212C" w:rsidRPr="00724086" w:rsidSect="00E14A06">
      <w:pgSz w:w="11906" w:h="16838"/>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7320" w14:textId="77777777" w:rsidR="00975F2A" w:rsidRDefault="00975F2A" w:rsidP="00127DAD">
      <w:r>
        <w:separator/>
      </w:r>
    </w:p>
  </w:endnote>
  <w:endnote w:type="continuationSeparator" w:id="0">
    <w:p w14:paraId="23B20C4A" w14:textId="77777777" w:rsidR="00975F2A" w:rsidRDefault="00975F2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88EF" w14:textId="15D658DE" w:rsidR="0077614D" w:rsidRPr="001E1668" w:rsidRDefault="0077614D" w:rsidP="00FB6061">
    <w:pPr>
      <w:pStyle w:val="Footer"/>
      <w:ind w:right="567"/>
      <w:jc w:val="right"/>
    </w:pPr>
    <w:r>
      <w:rPr>
        <w:lang w:eastAsia="zh-HK"/>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HK"/>
          </w:rPr>
          <w:t>D24/0265614</w:t>
        </w:r>
      </w:sdtContent>
    </w:sdt>
  </w:p>
  <w:p w14:paraId="03E59852" w14:textId="0FF1302C" w:rsidR="00293D0A" w:rsidRDefault="0077614D" w:rsidP="00B25322">
    <w:pPr>
      <w:pStyle w:val="Footer"/>
      <w:tabs>
        <w:tab w:val="clear" w:pos="4536"/>
        <w:tab w:val="center" w:pos="4535"/>
      </w:tabs>
    </w:pPr>
    <w:r>
      <w:rPr>
        <w:lang w:eastAsia="zh-HK"/>
      </w:rPr>
      <w:tab/>
    </w:r>
    <w:r>
      <w:rPr>
        <w:lang w:eastAsia="zh-HK"/>
      </w:rPr>
      <w:tab/>
    </w:r>
    <w:r>
      <w:rPr>
        <w:sz w:val="18"/>
        <w:szCs w:val="14"/>
        <w:lang w:eastAsia="zh-HK"/>
      </w:rPr>
      <w:t>2025</w:t>
    </w:r>
    <w:r>
      <w:rPr>
        <w:sz w:val="18"/>
        <w:szCs w:val="14"/>
        <w:lang w:eastAsia="zh-HK"/>
      </w:rPr>
      <w:t>年</w:t>
    </w:r>
    <w:r>
      <w:rPr>
        <w:sz w:val="18"/>
        <w:szCs w:val="14"/>
        <w:lang w:eastAsia="zh-HK"/>
      </w:rPr>
      <w:t>2</w:t>
    </w:r>
    <w:r>
      <w:rPr>
        <w:sz w:val="18"/>
        <w:szCs w:val="14"/>
        <w:lang w:eastAsia="zh-HK"/>
      </w:rPr>
      <w:t>月</w:t>
    </w:r>
  </w:p>
  <w:p w14:paraId="23580A94" w14:textId="675EBB12" w:rsidR="00B461B9" w:rsidRDefault="00E14A06" w:rsidP="00E14A06">
    <w:pPr>
      <w:pStyle w:val="Footer"/>
      <w:jc w:val="center"/>
    </w:pPr>
    <w:r>
      <w:rPr>
        <w:lang w:eastAsia="zh-HK"/>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eastAsia="zh-HK"/>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HK"/>
              </w:rPr>
              <w:t>D24/0265614</w:t>
            </w:r>
          </w:sdtContent>
        </w:sdt>
      </w:p>
      <w:p w14:paraId="7E081B3A" w14:textId="424B81E1" w:rsidR="00B461B9" w:rsidRDefault="00E14A06" w:rsidP="00E14A06">
        <w:pPr>
          <w:pStyle w:val="Footer"/>
        </w:pPr>
        <w:r>
          <w:rPr>
            <w:lang w:eastAsia="zh-HK"/>
          </w:rPr>
          <w:tab/>
        </w:r>
        <w:r>
          <w:rPr>
            <w:lang w:eastAsia="zh-HK"/>
          </w:rPr>
          <w:tab/>
        </w:r>
        <w:r>
          <w:rPr>
            <w:sz w:val="18"/>
            <w:szCs w:val="14"/>
            <w:lang w:eastAsia="zh-HK"/>
          </w:rPr>
          <w:t>2025</w:t>
        </w:r>
        <w:r>
          <w:rPr>
            <w:sz w:val="18"/>
            <w:szCs w:val="14"/>
            <w:lang w:eastAsia="zh-HK"/>
          </w:rPr>
          <w:t>年</w:t>
        </w:r>
        <w:r>
          <w:rPr>
            <w:sz w:val="18"/>
            <w:szCs w:val="14"/>
            <w:lang w:eastAsia="zh-HK"/>
          </w:rPr>
          <w:t>2</w:t>
        </w:r>
        <w:r>
          <w:rPr>
            <w:sz w:val="18"/>
            <w:szCs w:val="14"/>
            <w:lang w:eastAsia="zh-HK"/>
          </w:rPr>
          <w:t>月</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5288" w14:textId="77777777" w:rsidR="00975F2A" w:rsidRDefault="00975F2A" w:rsidP="00127DAD">
      <w:r>
        <w:separator/>
      </w:r>
    </w:p>
  </w:footnote>
  <w:footnote w:type="continuationSeparator" w:id="0">
    <w:p w14:paraId="7C3437B6" w14:textId="77777777" w:rsidR="00975F2A" w:rsidRDefault="00975F2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C210" w14:textId="159B93FD" w:rsidR="00513A27" w:rsidRDefault="00513A27">
    <w:pPr>
      <w:pStyle w:val="Header"/>
    </w:pPr>
    <w:r>
      <w:rPr>
        <w:noProof/>
        <w:lang w:eastAsia="zh-HK"/>
      </w:rPr>
      <w:drawing>
        <wp:anchor distT="0" distB="0" distL="114300" distR="114300" simplePos="0" relativeHeight="251662848" behindDoc="1" locked="0" layoutInCell="1" allowOverlap="1" wp14:anchorId="427B4CD5" wp14:editId="7550905E">
          <wp:simplePos x="0" y="0"/>
          <wp:positionH relativeFrom="page">
            <wp:align>right</wp:align>
          </wp:positionH>
          <wp:positionV relativeFrom="page">
            <wp:align>top</wp:align>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266D" w14:textId="3D8B43E3" w:rsidR="00CC69FE" w:rsidRDefault="00724086" w:rsidP="00127DAD">
    <w:pPr>
      <w:pStyle w:val="Header"/>
    </w:pPr>
    <w:r>
      <w:rPr>
        <w:noProof/>
      </w:rPr>
      <mc:AlternateContent>
        <mc:Choice Requires="wps">
          <w:drawing>
            <wp:anchor distT="45720" distB="45720" distL="114300" distR="114300" simplePos="0" relativeHeight="251664896" behindDoc="0" locked="0" layoutInCell="1" allowOverlap="1" wp14:anchorId="22B827AB" wp14:editId="5E9A98B6">
              <wp:simplePos x="0" y="0"/>
              <wp:positionH relativeFrom="column">
                <wp:posOffset>5433143</wp:posOffset>
              </wp:positionH>
              <wp:positionV relativeFrom="paragraph">
                <wp:posOffset>-174929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E158F2" w14:textId="1089BD1F" w:rsidR="00724086" w:rsidRPr="00724086" w:rsidRDefault="00724086">
                          <w:pPr>
                            <w:rPr>
                              <w:rFonts w:hint="eastAsia"/>
                              <w:color w:val="404040" w:themeColor="text1" w:themeTint="BF"/>
                              <w:sz w:val="18"/>
                              <w:szCs w:val="18"/>
                            </w:rPr>
                          </w:pPr>
                          <w:r w:rsidRPr="00724086">
                            <w:rPr>
                              <w:color w:val="404040" w:themeColor="text1" w:themeTint="BF"/>
                              <w:sz w:val="18"/>
                              <w:szCs w:val="18"/>
                              <w:lang w:eastAsia="zh-CN"/>
                            </w:rPr>
                            <w:t>T</w:t>
                          </w:r>
                          <w:r w:rsidRPr="00724086">
                            <w:rPr>
                              <w:rFonts w:hint="eastAsia"/>
                              <w:color w:val="404040" w:themeColor="text1" w:themeTint="BF"/>
                              <w:sz w:val="18"/>
                              <w:szCs w:val="18"/>
                              <w:lang w:eastAsia="zh-CN"/>
                            </w:rPr>
                            <w:t>raditional Chinese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B827AB" id="_x0000_t202" coordsize="21600,21600" o:spt="202" path="m,l,21600r21600,l21600,xe">
              <v:stroke joinstyle="miter"/>
              <v:path gradientshapeok="t" o:connecttype="rect"/>
            </v:shapetype>
            <v:shape id="Text Box 2" o:spid="_x0000_s1026" type="#_x0000_t202" style="position:absolute;margin-left:427.8pt;margin-top:-13.75pt;width:185.9pt;height:110.6pt;z-index:2516648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" filled="f" stroked="f">
              <v:textbox style="mso-fit-shape-to-text:t">
                <w:txbxContent>
                  <w:p w14:paraId="4EE158F2" w14:textId="1089BD1F" w:rsidR="00724086" w:rsidRPr="00724086" w:rsidRDefault="00724086">
                    <w:pPr>
                      <w:rPr>
                        <w:rFonts w:hint="eastAsia"/>
                        <w:color w:val="404040" w:themeColor="text1" w:themeTint="BF"/>
                        <w:sz w:val="18"/>
                        <w:szCs w:val="18"/>
                      </w:rPr>
                    </w:pPr>
                    <w:r w:rsidRPr="00724086">
                      <w:rPr>
                        <w:color w:val="404040" w:themeColor="text1" w:themeTint="BF"/>
                        <w:sz w:val="18"/>
                        <w:szCs w:val="18"/>
                        <w:lang w:eastAsia="zh-CN"/>
                      </w:rPr>
                      <w:t>T</w:t>
                    </w:r>
                    <w:r w:rsidRPr="00724086">
                      <w:rPr>
                        <w:rFonts w:hint="eastAsia"/>
                        <w:color w:val="404040" w:themeColor="text1" w:themeTint="BF"/>
                        <w:sz w:val="18"/>
                        <w:szCs w:val="18"/>
                        <w:lang w:eastAsia="zh-CN"/>
                      </w:rPr>
                      <w:t>raditional Chinese</w:t>
                    </w:r>
                  </w:p>
                </w:txbxContent>
              </v:textbox>
              <w10:wrap type="square"/>
            </v:shape>
          </w:pict>
        </mc:Fallback>
      </mc:AlternateContent>
    </w:r>
    <w:r w:rsidR="00CC69FE">
      <w:rPr>
        <w:noProof/>
        <w:lang w:eastAsia="zh-HK"/>
      </w:rPr>
      <w:drawing>
        <wp:anchor distT="0" distB="0" distL="114300" distR="114300" simplePos="0" relativeHeight="251660800" behindDoc="1" locked="0" layoutInCell="1" allowOverlap="1" wp14:anchorId="3CC8F0B3" wp14:editId="195BD14A">
          <wp:simplePos x="0" y="0"/>
          <wp:positionH relativeFrom="page">
            <wp:posOffset>7</wp:posOffset>
          </wp:positionH>
          <wp:positionV relativeFrom="page">
            <wp:posOffset>0</wp:posOffset>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626CD"/>
    <w:rsid w:val="000649CF"/>
    <w:rsid w:val="0006787D"/>
    <w:rsid w:val="0007329C"/>
    <w:rsid w:val="00073C07"/>
    <w:rsid w:val="000776FB"/>
    <w:rsid w:val="00077ED0"/>
    <w:rsid w:val="00092DEE"/>
    <w:rsid w:val="000A5C8A"/>
    <w:rsid w:val="000A6D78"/>
    <w:rsid w:val="000B0131"/>
    <w:rsid w:val="000B6A3E"/>
    <w:rsid w:val="000C0303"/>
    <w:rsid w:val="000C58B8"/>
    <w:rsid w:val="000E61C9"/>
    <w:rsid w:val="000F3848"/>
    <w:rsid w:val="000F6D5A"/>
    <w:rsid w:val="00117BC1"/>
    <w:rsid w:val="00127DAD"/>
    <w:rsid w:val="0013587A"/>
    <w:rsid w:val="00156092"/>
    <w:rsid w:val="0017483D"/>
    <w:rsid w:val="00175F06"/>
    <w:rsid w:val="00177D2D"/>
    <w:rsid w:val="00185215"/>
    <w:rsid w:val="001C3399"/>
    <w:rsid w:val="001D2923"/>
    <w:rsid w:val="001D4434"/>
    <w:rsid w:val="001D492C"/>
    <w:rsid w:val="001E1668"/>
    <w:rsid w:val="001E62CB"/>
    <w:rsid w:val="001F63E2"/>
    <w:rsid w:val="00207D7F"/>
    <w:rsid w:val="00216BD3"/>
    <w:rsid w:val="00217461"/>
    <w:rsid w:val="00237DA1"/>
    <w:rsid w:val="00242C19"/>
    <w:rsid w:val="00250BF2"/>
    <w:rsid w:val="002715EE"/>
    <w:rsid w:val="002740AC"/>
    <w:rsid w:val="002771D2"/>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6A2A"/>
    <w:rsid w:val="004A73A8"/>
    <w:rsid w:val="004B06B1"/>
    <w:rsid w:val="004C6818"/>
    <w:rsid w:val="004D0B2E"/>
    <w:rsid w:val="004F1EF9"/>
    <w:rsid w:val="0050052A"/>
    <w:rsid w:val="005007C0"/>
    <w:rsid w:val="00513A27"/>
    <w:rsid w:val="00525C4D"/>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F639D"/>
    <w:rsid w:val="006F778D"/>
    <w:rsid w:val="00724086"/>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40EFA"/>
    <w:rsid w:val="00843E30"/>
    <w:rsid w:val="00845C58"/>
    <w:rsid w:val="008626AA"/>
    <w:rsid w:val="008631A5"/>
    <w:rsid w:val="0088584D"/>
    <w:rsid w:val="00886E6E"/>
    <w:rsid w:val="008911E4"/>
    <w:rsid w:val="008A1F74"/>
    <w:rsid w:val="008A7361"/>
    <w:rsid w:val="008B02EB"/>
    <w:rsid w:val="008B481E"/>
    <w:rsid w:val="008C4588"/>
    <w:rsid w:val="008D7EFC"/>
    <w:rsid w:val="008E6F71"/>
    <w:rsid w:val="008F4E29"/>
    <w:rsid w:val="0091391A"/>
    <w:rsid w:val="00916AF7"/>
    <w:rsid w:val="00921390"/>
    <w:rsid w:val="009239C6"/>
    <w:rsid w:val="00944008"/>
    <w:rsid w:val="0095620D"/>
    <w:rsid w:val="009567D2"/>
    <w:rsid w:val="00967403"/>
    <w:rsid w:val="00975F2A"/>
    <w:rsid w:val="00976958"/>
    <w:rsid w:val="00986D50"/>
    <w:rsid w:val="00992BCE"/>
    <w:rsid w:val="009C49E3"/>
    <w:rsid w:val="009D72F4"/>
    <w:rsid w:val="009E32FD"/>
    <w:rsid w:val="009F7FE4"/>
    <w:rsid w:val="00A26AEF"/>
    <w:rsid w:val="00A35095"/>
    <w:rsid w:val="00A43B6C"/>
    <w:rsid w:val="00A44533"/>
    <w:rsid w:val="00A64252"/>
    <w:rsid w:val="00A64930"/>
    <w:rsid w:val="00A66AAD"/>
    <w:rsid w:val="00A8206D"/>
    <w:rsid w:val="00A8272B"/>
    <w:rsid w:val="00AA413D"/>
    <w:rsid w:val="00AC641B"/>
    <w:rsid w:val="00AF1E01"/>
    <w:rsid w:val="00AF71AF"/>
    <w:rsid w:val="00B06BD2"/>
    <w:rsid w:val="00B143E6"/>
    <w:rsid w:val="00B174C0"/>
    <w:rsid w:val="00B17C7F"/>
    <w:rsid w:val="00B25322"/>
    <w:rsid w:val="00B374A9"/>
    <w:rsid w:val="00B461B9"/>
    <w:rsid w:val="00B54143"/>
    <w:rsid w:val="00B544BA"/>
    <w:rsid w:val="00B56A6C"/>
    <w:rsid w:val="00B6170F"/>
    <w:rsid w:val="00B669D2"/>
    <w:rsid w:val="00B90E8D"/>
    <w:rsid w:val="00BA12A1"/>
    <w:rsid w:val="00BC028F"/>
    <w:rsid w:val="00BD0B3B"/>
    <w:rsid w:val="00BE6BBC"/>
    <w:rsid w:val="00BF15A3"/>
    <w:rsid w:val="00BF391F"/>
    <w:rsid w:val="00BF3E72"/>
    <w:rsid w:val="00C011D5"/>
    <w:rsid w:val="00C106E2"/>
    <w:rsid w:val="00C1212C"/>
    <w:rsid w:val="00C17BF9"/>
    <w:rsid w:val="00C21E66"/>
    <w:rsid w:val="00C35BA3"/>
    <w:rsid w:val="00C473DA"/>
    <w:rsid w:val="00C77A2C"/>
    <w:rsid w:val="00C800E3"/>
    <w:rsid w:val="00C84C21"/>
    <w:rsid w:val="00C96238"/>
    <w:rsid w:val="00CA0BE1"/>
    <w:rsid w:val="00CB081C"/>
    <w:rsid w:val="00CB46BF"/>
    <w:rsid w:val="00CB54C3"/>
    <w:rsid w:val="00CC69FE"/>
    <w:rsid w:val="00CD3045"/>
    <w:rsid w:val="00CE0374"/>
    <w:rsid w:val="00CE19F1"/>
    <w:rsid w:val="00CE4E68"/>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D3AB9"/>
    <w:rsid w:val="00EF20B0"/>
    <w:rsid w:val="00F0060B"/>
    <w:rsid w:val="00F105A5"/>
    <w:rsid w:val="00F13F2D"/>
    <w:rsid w:val="00F22678"/>
    <w:rsid w:val="00F24F5D"/>
    <w:rsid w:val="00F4033E"/>
    <w:rsid w:val="00F42DC3"/>
    <w:rsid w:val="00F50F29"/>
    <w:rsid w:val="00F6628D"/>
    <w:rsid w:val="00F8161E"/>
    <w:rsid w:val="00F90A71"/>
    <w:rsid w:val="00FA03FB"/>
    <w:rsid w:val="00FA1899"/>
    <w:rsid w:val="00FA5527"/>
    <w:rsid w:val="00FA771C"/>
    <w:rsid w:val="00FB251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hyperlink" Target="https://parent.scsa.wa.edu.au/"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0C0303"/>
    <w:rsid w:val="00255CDE"/>
    <w:rsid w:val="0078418F"/>
    <w:rsid w:val="008F2EC6"/>
    <w:rsid w:val="00906172"/>
    <w:rsid w:val="00E521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www.w3.org/XML/1998/namespace"/>
    <ds:schemaRef ds:uri="http://purl.org/dc/dcmitype/"/>
    <ds:schemaRef ds:uri="http://schemas.microsoft.com/office/2006/documentManagement/types"/>
    <ds:schemaRef ds:uri="http://purl.org/dc/terms/"/>
    <ds:schemaRef ds:uri="d6520638-0d4b-4f10-b9f9-cc818b5e466b"/>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4.xml><?xml version="1.0" encoding="utf-8"?>
<ds:datastoreItem xmlns:ds="http://schemas.openxmlformats.org/officeDocument/2006/customXml" ds:itemID="{9B1005B7-ED19-4CEE-A35F-3E3EAD17E364}"/>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188</Words>
  <Characters>1074</Characters>
  <Application>Microsoft Office Word</Application>
  <DocSecurity>0</DocSecurity>
  <Lines>8</Lines>
  <Paragraphs>2</Paragraphs>
  <ScaleCrop>false</ScaleCrop>
  <Company>Department of Education Western Australia</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33</cp:revision>
  <cp:lastPrinted>2025-04-09T02:57:00Z</cp:lastPrinted>
  <dcterms:created xsi:type="dcterms:W3CDTF">2024-04-16T04:55:00Z</dcterms:created>
  <dcterms:modified xsi:type="dcterms:W3CDTF">2025-04-09T02:57:00Z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