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7907" w14:textId="77777777" w:rsidR="00B25456" w:rsidRPr="004D039F" w:rsidRDefault="00F926A5" w:rsidP="00733C11">
      <w:pPr>
        <w:pStyle w:val="Title"/>
        <w:rPr>
          <w:bCs/>
          <w:sz w:val="36"/>
          <w:szCs w:val="36"/>
        </w:rPr>
      </w:pPr>
      <w:bookmarkStart w:id="0" w:name="_Hlk103166844"/>
      <w:bookmarkStart w:id="1" w:name="_Toc84334888"/>
      <w:r w:rsidRPr="004D039F">
        <w:rPr>
          <w:bCs/>
          <w:sz w:val="36"/>
          <w:szCs w:val="36"/>
          <w:lang w:val="ta"/>
        </w:rPr>
        <w:t>11 மற்றும் 12 ஆம் வகுப்புகளுக்கான விருப்பத்தேர்வுகளை செய்தல்</w:t>
      </w:r>
    </w:p>
    <w:p w14:paraId="0D8B47A9" w14:textId="34D8B4A9" w:rsidR="00F926A5" w:rsidRPr="004D039F" w:rsidRDefault="00F926A5" w:rsidP="00733C11">
      <w:pPr>
        <w:pStyle w:val="Title"/>
        <w:rPr>
          <w:bCs/>
          <w:sz w:val="36"/>
          <w:szCs w:val="36"/>
        </w:rPr>
      </w:pPr>
      <w:r w:rsidRPr="004D039F">
        <w:rPr>
          <w:bCs/>
          <w:color w:val="auto"/>
          <w:sz w:val="24"/>
          <w:szCs w:val="24"/>
          <w:lang w:val="ta"/>
        </w:rPr>
        <w:t>பெற்றோர் மற்றும் பராமரிப்பாளர்களுக்கான தகவல்</w:t>
      </w:r>
    </w:p>
    <w:bookmarkEnd w:id="0"/>
    <w:bookmarkEnd w:id="1"/>
    <w:p w14:paraId="02C42707" w14:textId="07912C4E" w:rsidR="00F926A5" w:rsidRPr="00F926A5" w:rsidRDefault="00F926A5" w:rsidP="00A10BB8">
      <w:pPr>
        <w:widowControl w:val="0"/>
        <w:autoSpaceDE w:val="0"/>
        <w:autoSpaceDN w:val="0"/>
        <w:spacing w:before="209"/>
        <w:ind w:right="166"/>
        <w:rPr>
          <w:rFonts w:eastAsia="Arial"/>
          <w:szCs w:val="22"/>
        </w:rPr>
      </w:pPr>
      <w:r>
        <w:rPr>
          <w:rFonts w:eastAsia="Arial"/>
          <w:szCs w:val="22"/>
          <w:lang w:val="ta"/>
        </w:rPr>
        <w:t>மாணவர்கள் பல்கலைக்கழகப் படிப்பில் ஆர்வமாக இருக்கலாம், மேலும் கல்வி மற்றும் பயிற்சியை உள்ளடக்கிய ஒரு குறிப்பிட்ட தொழிலை மனதில் கொண்டிருக்கலாம் அல்லது பள்ளியை விட்டு வெளியேறிய பிறகு பணியிடத்தில் நுழைய விரும்பலாம். 11 மற்றும் 12 ஆம் வகுப்பு மாணவர்களுக்கு பல்கலைக்கழகம், பயிற்சி மற்றும் வேலைவாய்ப்புக்கு பல பாதைகளை வழங்கும் பரந்த அளவிலான விருப்பங்கள் உள்ளன.</w:t>
      </w:r>
    </w:p>
    <w:p w14:paraId="3A19F86E" w14:textId="77777777" w:rsidR="00F926A5" w:rsidRPr="00F926A5" w:rsidRDefault="00F926A5" w:rsidP="00F926A5">
      <w:pPr>
        <w:widowControl w:val="0"/>
        <w:autoSpaceDE w:val="0"/>
        <w:autoSpaceDN w:val="0"/>
        <w:spacing w:before="1"/>
        <w:rPr>
          <w:rFonts w:eastAsia="Arial"/>
          <w:szCs w:val="22"/>
        </w:rPr>
      </w:pPr>
    </w:p>
    <w:p w14:paraId="115C7958" w14:textId="6FC1600B" w:rsidR="00F926A5" w:rsidRPr="00F926A5" w:rsidRDefault="00F926A5" w:rsidP="00A10BB8">
      <w:pPr>
        <w:widowControl w:val="0"/>
        <w:autoSpaceDE w:val="0"/>
        <w:autoSpaceDN w:val="0"/>
        <w:rPr>
          <w:rFonts w:eastAsia="Arial"/>
          <w:b/>
          <w:color w:val="592C82"/>
          <w:sz w:val="26"/>
          <w:szCs w:val="22"/>
        </w:rPr>
      </w:pPr>
      <w:r>
        <w:rPr>
          <w:rFonts w:eastAsia="Arial"/>
          <w:b/>
          <w:bCs/>
          <w:color w:val="592C82"/>
          <w:sz w:val="26"/>
          <w:szCs w:val="22"/>
          <w:lang w:val="ta"/>
        </w:rPr>
        <w:t xml:space="preserve"> 11 மற்றும் 12 ஆம் வகுப்பு மாணவர்களுக்கான பாடநெறி மற்றும் திட்ட விருப்பங்கள்</w:t>
      </w:r>
    </w:p>
    <w:p w14:paraId="0EF80CEA" w14:textId="77777777" w:rsidR="005007C0" w:rsidRDefault="005007C0" w:rsidP="005007C0"/>
    <w:tbl>
      <w:tblPr>
        <w:tblStyle w:val="DOETable1"/>
        <w:tblW w:w="9069" w:type="dxa"/>
        <w:tblLook w:val="04A0" w:firstRow="1" w:lastRow="0" w:firstColumn="1" w:lastColumn="0" w:noHBand="0" w:noVBand="1"/>
      </w:tblPr>
      <w:tblGrid>
        <w:gridCol w:w="1781"/>
        <w:gridCol w:w="7288"/>
      </w:tblGrid>
      <w:tr w:rsidR="005007C0"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Default="00F926A5">
            <w:r>
              <w:rPr>
                <w:lang w:val="ta"/>
              </w:rPr>
              <w:t>விருப்பத் தேர்வுகள்</w:t>
            </w:r>
          </w:p>
        </w:tc>
        <w:tc>
          <w:tcPr>
            <w:tcW w:w="7373" w:type="dxa"/>
            <w:hideMark/>
          </w:tcPr>
          <w:p w14:paraId="692BFB56" w14:textId="77777777" w:rsidR="005007C0" w:rsidRDefault="005007C0">
            <w:pPr>
              <w:cnfStyle w:val="100000000000" w:firstRow="1" w:lastRow="0" w:firstColumn="0" w:lastColumn="0" w:oddVBand="0" w:evenVBand="0" w:oddHBand="0" w:evenHBand="0" w:firstRowFirstColumn="0" w:firstRowLastColumn="0" w:lastRowFirstColumn="0" w:lastRowLastColumn="0"/>
            </w:pPr>
            <w:r>
              <w:rPr>
                <w:lang w:val="ta"/>
              </w:rPr>
              <w:t>விளக்கம்</w:t>
            </w:r>
          </w:p>
        </w:tc>
      </w:tr>
      <w:tr w:rsidR="005007C0"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545845F6" w:rsidR="005007C0" w:rsidRDefault="00F926A5" w:rsidP="00D904A2">
            <w:r>
              <w:rPr>
                <w:lang w:val="ta"/>
              </w:rPr>
              <w:t>ATAR படிப்புகள்</w:t>
            </w:r>
          </w:p>
        </w:tc>
        <w:tc>
          <w:tcPr>
            <w:tcW w:w="0" w:type="dxa"/>
            <w:vAlign w:val="center"/>
            <w:hideMark/>
          </w:tcPr>
          <w:p w14:paraId="6B9EC067" w14:textId="6019E3FE" w:rsidR="00DB2889" w:rsidRPr="004D039F" w:rsidRDefault="00F926A5" w:rsidP="005E7D74">
            <w:pPr>
              <w:cnfStyle w:val="000000000000" w:firstRow="0" w:lastRow="0" w:firstColumn="0" w:lastColumn="0" w:oddVBand="0" w:evenVBand="0" w:oddHBand="0" w:evenHBand="0" w:firstRowFirstColumn="0" w:firstRowLastColumn="0" w:lastRowFirstColumn="0" w:lastRowLastColumn="0"/>
              <w:rPr>
                <w:spacing w:val="-2"/>
                <w:sz w:val="20"/>
                <w:szCs w:val="18"/>
              </w:rPr>
            </w:pPr>
            <w:r w:rsidRPr="004D039F">
              <w:rPr>
                <w:sz w:val="20"/>
                <w:szCs w:val="18"/>
                <w:lang w:val="ta"/>
              </w:rPr>
              <w:t>ஆஸ்திரேலிய மூன்றாம் நிலை சேர்க்கை தரவரிசை (ATAR) படிப்புகள் பொதுவாக கல்வி சார்ந்தவை. ATAR பெற விரும்பும் மாணவர்கள் குறைந்தபட்சம் 4 ஆண்டு 12 ATAR படிப்புகளை முடிக்க வேண்டும். பொதுவாக பல்கலைக்கழகப் படிப்பை அணுகுவதற்காக மேற்கொள்ளப்பட்டாலும், ATAR படிப்புகள், தொழிற்கல்வி உட்பட பல்வேறு பள்ளிப் படிப்புகளுக்கு சிறந்த தயாரிப்பாகவும் உள்ளன.</w:t>
            </w:r>
          </w:p>
        </w:tc>
      </w:tr>
      <w:tr w:rsidR="005007C0"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4F15F4F" w:rsidR="005007C0" w:rsidRDefault="00F926A5" w:rsidP="00D904A2">
            <w:r>
              <w:rPr>
                <w:lang w:val="ta"/>
              </w:rPr>
              <w:t>பொதுவான கற்கைகள்</w:t>
            </w:r>
          </w:p>
        </w:tc>
        <w:tc>
          <w:tcPr>
            <w:tcW w:w="0" w:type="dxa"/>
            <w:vAlign w:val="center"/>
            <w:hideMark/>
          </w:tcPr>
          <w:p w14:paraId="1A064C8E" w14:textId="520756AC" w:rsidR="00DB2889" w:rsidRPr="004D039F" w:rsidRDefault="00F926A5" w:rsidP="005E7D74">
            <w:pPr>
              <w:cnfStyle w:val="000000010000" w:firstRow="0" w:lastRow="0" w:firstColumn="0" w:lastColumn="0" w:oddVBand="0" w:evenVBand="0" w:oddHBand="0" w:evenHBand="1" w:firstRowFirstColumn="0" w:firstRowLastColumn="0" w:lastRowFirstColumn="0" w:lastRowLastColumn="0"/>
              <w:rPr>
                <w:sz w:val="20"/>
                <w:szCs w:val="18"/>
              </w:rPr>
            </w:pPr>
            <w:r w:rsidRPr="004D039F">
              <w:rPr>
                <w:sz w:val="20"/>
                <w:szCs w:val="18"/>
                <w:lang w:val="ta"/>
              </w:rPr>
              <w:t>இந்தப் படிப்புகள் முதன்மையாக, பள்ளிப் படிப்பை முடித்த பிறகு, மேலும் தொழிற்கல்வியில் சேர அல்லது பணியிடத்தில் சேர விரும்பும் மாணவர்களுக்காகவே வடிவமைக்கப்பட்டுள்ளன. பொதுப் படிப்புகளில் ATAR படிப்புகளைப் போல வெளிப்புறமாக அமைக்கப்பட்ட தேர்வுகள் இல்லை, ஆனால் அவை 12 ஆம் வகுப்பில் ஒரு மாணவரின் ஒட்டுமொத்த மதிப்பீட்டில் 15% மதிப்புள்ள கட்டாய வெளிப்புறமாக அமைக்கப்பட்ட பணியைக் கொண்டுள்ளன. மாணவர்கள் சில பல்கலைக்கழகப் படிப்புகளுக்கான மாற்று அல்லது செயல்படுத்தும் நுழைவுப் பாதையின் ஒரு பகுதியாக சில பொதுப் படிப்புகளைப் பயன்படுத்த முடியும்.</w:t>
            </w:r>
          </w:p>
        </w:tc>
      </w:tr>
      <w:tr w:rsidR="005007C0"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53EC8704" w:rsidR="005007C0" w:rsidRDefault="00F926A5" w:rsidP="00D904A2">
            <w:r>
              <w:rPr>
                <w:lang w:val="ta"/>
              </w:rPr>
              <w:lastRenderedPageBreak/>
              <w:t>அடிப்படைக் கற்கைகள்</w:t>
            </w:r>
          </w:p>
        </w:tc>
        <w:tc>
          <w:tcPr>
            <w:tcW w:w="0" w:type="dxa"/>
            <w:vAlign w:val="center"/>
            <w:hideMark/>
          </w:tcPr>
          <w:p w14:paraId="639E94E6" w14:textId="0A3A1D83" w:rsidR="00F926A5" w:rsidRPr="004D039F" w:rsidRDefault="00F926A5" w:rsidP="005E7D74">
            <w:pPr>
              <w:cnfStyle w:val="000000000000" w:firstRow="0" w:lastRow="0" w:firstColumn="0" w:lastColumn="0" w:oddVBand="0" w:evenVBand="0" w:oddHBand="0" w:evenHBand="0" w:firstRowFirstColumn="0" w:firstRowLastColumn="0" w:lastRowFirstColumn="0" w:lastRowLastColumn="0"/>
              <w:rPr>
                <w:sz w:val="20"/>
                <w:szCs w:val="18"/>
              </w:rPr>
            </w:pPr>
            <w:r w:rsidRPr="004D039F">
              <w:rPr>
                <w:sz w:val="20"/>
                <w:szCs w:val="18"/>
                <w:lang w:val="ta"/>
              </w:rPr>
              <w:t>12 ஆம் ஆண்டு இறுதிக்குள் எழுத்தறிவு மற்றும்/அல்லது எண்ணறிவுக்கான குறைந்தபட்ச தரநிலைகளை அடைய ஆதரவு தேவைப்படும் மாணவர்களுக்காக வடிவமைக்கப்பட்டுள்ளது. இந்தப் படிப்புகள் செயல்பாட்டு எழுத்தறிவு மற்றும் எண்ணறிவுத் திறன்கள், நடைமுறை வேலை தொடர்பான அனுபவம் மற்றும் வாழ்க்கைக்கும் பணிக்கும் முக்கியமான தனிப்பட்ட திறன்களை வளர்ப்பதற்கான வாய்ப்பை வழங்குகின்றன.</w:t>
            </w:r>
          </w:p>
          <w:p w14:paraId="194298FA" w14:textId="439B0616" w:rsidR="00DB2889" w:rsidRPr="004D039F" w:rsidRDefault="00F926A5" w:rsidP="005E7D74">
            <w:pPr>
              <w:cnfStyle w:val="000000000000" w:firstRow="0" w:lastRow="0" w:firstColumn="0" w:lastColumn="0" w:oddVBand="0" w:evenVBand="0" w:oddHBand="0" w:evenHBand="0" w:firstRowFirstColumn="0" w:firstRowLastColumn="0" w:lastRowFirstColumn="0" w:lastRowLastColumn="0"/>
              <w:rPr>
                <w:sz w:val="20"/>
                <w:szCs w:val="18"/>
              </w:rPr>
            </w:pPr>
            <w:r w:rsidRPr="004D039F">
              <w:rPr>
                <w:sz w:val="20"/>
                <w:szCs w:val="18"/>
                <w:lang w:val="ta"/>
              </w:rPr>
              <w:t>அடிப்படைக் கற்கைகளுக்குத் தேர்வுகள் இல்லை, 12 ஆம் வகுப்பில் வெளிப்புறமாக நிர்ணயிக்கப்பட்ட கட்டாயப் பணி உள்ளது, இது ஒரு மாணவரின் பள்ளி அடிப்படையிலான பாட மதிப்பீட்டில் 15% மதிப்புடையது.</w:t>
            </w:r>
          </w:p>
        </w:tc>
      </w:tr>
      <w:tr w:rsidR="005007C0"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88FD271" w14:textId="2D053B28" w:rsidR="005007C0" w:rsidRDefault="00F926A5" w:rsidP="00D904A2">
            <w:r>
              <w:rPr>
                <w:lang w:val="ta"/>
              </w:rPr>
              <w:t>VET தகுதிகள்</w:t>
            </w:r>
          </w:p>
        </w:tc>
        <w:tc>
          <w:tcPr>
            <w:tcW w:w="0" w:type="dxa"/>
            <w:vAlign w:val="center"/>
            <w:hideMark/>
          </w:tcPr>
          <w:p w14:paraId="2089142A" w14:textId="3D91EB93" w:rsidR="00DB2889" w:rsidRPr="004D039F" w:rsidRDefault="00F926A5" w:rsidP="005E7D74">
            <w:pPr>
              <w:cnfStyle w:val="000000010000" w:firstRow="0" w:lastRow="0" w:firstColumn="0" w:lastColumn="0" w:oddVBand="0" w:evenVBand="0" w:oddHBand="0" w:evenHBand="1" w:firstRowFirstColumn="0" w:firstRowLastColumn="0" w:lastRowFirstColumn="0" w:lastRowLastColumn="0"/>
              <w:rPr>
                <w:sz w:val="20"/>
                <w:szCs w:val="18"/>
              </w:rPr>
            </w:pPr>
            <w:r w:rsidRPr="004D039F">
              <w:rPr>
                <w:sz w:val="20"/>
                <w:szCs w:val="18"/>
                <w:lang w:val="ta"/>
              </w:rPr>
              <w:t>மாணவர்கள் தேசிய அளவில் அங்கீகரிக்கப்பட்ட தொழிற்கல்வி மற்றும் பயிற்சி (VET) தகுதியை நிறைவு செய்கிறார்கள். VET பணியிடத்திலும், பணியிடத்திற்காகவும் திறன்களையும் அறிவையும் உருவாக்குகிறது. மேற்கு ஆஸ்திரேலிய கல்விச் சான்றிதழ் (WACE) பெறுவதற்கு மாணவர்கள் VET தகுதிகளைப் பயன்படுத்தலாம்.</w:t>
            </w:r>
          </w:p>
        </w:tc>
      </w:tr>
    </w:tbl>
    <w:p w14:paraId="353A5361" w14:textId="199D8AAE" w:rsidR="00AB4166" w:rsidRDefault="00AB4166"/>
    <w:tbl>
      <w:tblPr>
        <w:tblStyle w:val="DOETable1"/>
        <w:tblW w:w="9069" w:type="dxa"/>
        <w:tblLook w:val="0480" w:firstRow="0" w:lastRow="0" w:firstColumn="1" w:lastColumn="0" w:noHBand="0" w:noVBand="1"/>
      </w:tblPr>
      <w:tblGrid>
        <w:gridCol w:w="2563"/>
        <w:gridCol w:w="6506"/>
      </w:tblGrid>
      <w:tr w:rsidR="005007C0" w14:paraId="7604C42F" w14:textId="77777777" w:rsidTr="004D039F">
        <w:trPr>
          <w:trHeight w:val="113"/>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732FBE07" w14:textId="4216F62C" w:rsidR="005007C0" w:rsidRDefault="00F926A5" w:rsidP="00567D4C">
            <w:r>
              <w:rPr>
                <w:lang w:val="ta"/>
              </w:rPr>
              <w:t>அங்கீகரிக்கப்பட்ட நிகழ்ச்சித் திட்டங்கள்</w:t>
            </w:r>
          </w:p>
        </w:tc>
        <w:tc>
          <w:tcPr>
            <w:tcW w:w="7231" w:type="dxa"/>
            <w:vAlign w:val="center"/>
            <w:hideMark/>
          </w:tcPr>
          <w:p w14:paraId="099A0D81" w14:textId="23F7CFD3" w:rsidR="00DB2889" w:rsidRPr="005E7D74" w:rsidRDefault="00F926A5" w:rsidP="005E7D74">
            <w:pPr>
              <w:cnfStyle w:val="000000000000" w:firstRow="0" w:lastRow="0" w:firstColumn="0" w:lastColumn="0" w:oddVBand="0" w:evenVBand="0" w:oddHBand="0" w:evenHBand="0" w:firstRowFirstColumn="0" w:firstRowLastColumn="0" w:lastRowFirstColumn="0" w:lastRowLastColumn="0"/>
              <w:rPr>
                <w:color w:val="000000"/>
                <w:shd w:val="clear" w:color="auto" w:fill="FFFFFF"/>
              </w:rPr>
            </w:pPr>
            <w:r w:rsidRPr="004D039F">
              <w:rPr>
                <w:color w:val="000000"/>
                <w:sz w:val="20"/>
                <w:szCs w:val="18"/>
                <w:shd w:val="clear" w:color="auto" w:fill="FFFFFF"/>
                <w:lang w:val="ta"/>
              </w:rPr>
              <w:t>அங்கீகரிக்கப்பட்ட திட்டங்கள் WACE படிப்புகள் அல்லது VET திட்டங்களால் உள்ளடக்கப்படாத செயல்பாடுகள் மூலம் கற்றலை வழங்குகின்றன. பள்ளிகள், பணியிடங்கள், பல்கலைக்கழகங்கள் மற்றும் சமூக அமைப்புகளால் பல்வேறு அமைப்புகளில் வழங்கப்படும் திட்டங்களில் பங்கேற்க விரும்பும் மாணவர்களுக்கானது ஒப்புதல் அளிக்கப்பட்ட திட்டங்கள்.அங்கீகரிக்கப்பட்ட திட்டங்களை பள்ளி பாடத்திட்டத்தின் ஒரு பகுதியாகவோ அல்லது கூடுதல் பாடத்திட்ட நடவடிக்கைகளாகவோ வழங்கலாம், மேலும் மாணவர்கள் WACE இன் சாதனையை நோக்கி எண்ண அவற்றைப் பயன்படுத்தலாம்.</w:t>
            </w:r>
          </w:p>
        </w:tc>
      </w:tr>
      <w:tr w:rsidR="005007C0" w14:paraId="4759E201" w14:textId="77777777" w:rsidTr="004D039F">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838" w:type="dxa"/>
            <w:vAlign w:val="center"/>
            <w:hideMark/>
          </w:tcPr>
          <w:p w14:paraId="2FE7335D" w14:textId="6B72BDF8" w:rsidR="005007C0" w:rsidRDefault="00F926A5" w:rsidP="00567D4C">
            <w:r>
              <w:rPr>
                <w:lang w:val="ta"/>
              </w:rPr>
              <w:t>ஆரம்பக் கற்கைகள்</w:t>
            </w:r>
          </w:p>
        </w:tc>
        <w:tc>
          <w:tcPr>
            <w:tcW w:w="7231" w:type="dxa"/>
            <w:vAlign w:val="center"/>
            <w:hideMark/>
          </w:tcPr>
          <w:p w14:paraId="24EC0142" w14:textId="08CA7EB6" w:rsidR="00F926A5" w:rsidRPr="004D039F" w:rsidRDefault="00F926A5" w:rsidP="005E7D74">
            <w:pPr>
              <w:cnfStyle w:val="000000010000" w:firstRow="0" w:lastRow="0" w:firstColumn="0" w:lastColumn="0" w:oddVBand="0" w:evenVBand="0" w:oddHBand="0" w:evenHBand="1" w:firstRowFirstColumn="0" w:firstRowLastColumn="0" w:lastRowFirstColumn="0" w:lastRowLastColumn="0"/>
              <w:rPr>
                <w:sz w:val="20"/>
                <w:szCs w:val="18"/>
              </w:rPr>
            </w:pPr>
            <w:r w:rsidRPr="004D039F">
              <w:rPr>
                <w:sz w:val="20"/>
                <w:szCs w:val="18"/>
                <w:lang w:val="ta"/>
              </w:rPr>
              <w:t>கற்றல் சிரமம் மற்றும்/அல்லது அறிவுசார் குறைபாடு உள்ளதாக அடையாளம் காணப்பட்ட மாணவர்களுக்காக ஆரம்பக் கற்கைகள் வடிவமைக்கப்பட்டுள்ளன. சரிசெய்தல் மற்றும்/அல்லது இயலாமை (மாற்றுத்திறன்) விதிகளுடன் ATAR, பொது அல்லது அறக்கட்டளை பாட உள்ளடக்கத்தை அணுக முடியாத மாணவர்களுக்கு இந்தப் படிப்புகள் விருப்பங்களை வழங்குகின்றன.</w:t>
            </w:r>
          </w:p>
          <w:p w14:paraId="53AA4D07" w14:textId="6028C291" w:rsidR="00DB2889" w:rsidRPr="005E7D74" w:rsidRDefault="00F926A5" w:rsidP="005E7D74">
            <w:pPr>
              <w:cnfStyle w:val="000000010000" w:firstRow="0" w:lastRow="0" w:firstColumn="0" w:lastColumn="0" w:oddVBand="0" w:evenVBand="0" w:oddHBand="0" w:evenHBand="1" w:firstRowFirstColumn="0" w:firstRowLastColumn="0" w:lastRowFirstColumn="0" w:lastRowLastColumn="0"/>
            </w:pPr>
            <w:r w:rsidRPr="004D039F">
              <w:rPr>
                <w:sz w:val="20"/>
                <w:szCs w:val="18"/>
                <w:lang w:val="ta"/>
              </w:rPr>
              <w:t>ஆரம்ப அலகுகள் அலையை அடைவதற்கு பங்களிப்பதில்லை.</w:t>
            </w:r>
          </w:p>
        </w:tc>
      </w:tr>
    </w:tbl>
    <w:p w14:paraId="2BEEC91B" w14:textId="77777777" w:rsidR="00F926A5" w:rsidRPr="005007C0" w:rsidRDefault="00F926A5" w:rsidP="00F926A5">
      <w:pPr>
        <w:pStyle w:val="Notes"/>
      </w:pPr>
    </w:p>
    <w:sectPr w:rsidR="00F926A5" w:rsidRPr="005007C0"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EAFA" w14:textId="77777777" w:rsidR="009261FF" w:rsidRDefault="009261FF" w:rsidP="00127DAD">
      <w:r>
        <w:separator/>
      </w:r>
    </w:p>
  </w:endnote>
  <w:endnote w:type="continuationSeparator" w:id="0">
    <w:p w14:paraId="6BFF8649" w14:textId="77777777" w:rsidR="009261FF" w:rsidRDefault="009261F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0FB0A4CC" w:rsidR="008626AA" w:rsidRPr="003E7296" w:rsidRDefault="008626AA" w:rsidP="008626AA">
    <w:pPr>
      <w:pStyle w:val="Footer"/>
      <w:rPr>
        <w:sz w:val="18"/>
        <w:szCs w:val="14"/>
      </w:rPr>
    </w:pPr>
    <w:r>
      <w:rPr>
        <w:lang w:val="ta"/>
      </w:rPr>
      <w:tab/>
    </w:r>
    <w:r>
      <w:rPr>
        <w:lang w:val="ta"/>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ta"/>
          </w:rPr>
          <w:t>D24/0256674</w:t>
        </w:r>
      </w:sdtContent>
    </w:sdt>
  </w:p>
  <w:p w14:paraId="3CC1B870" w14:textId="0C9C4C4C" w:rsidR="000F6D5A" w:rsidRPr="003E7296" w:rsidRDefault="008626AA" w:rsidP="008626AA">
    <w:pPr>
      <w:pStyle w:val="Footer"/>
      <w:rPr>
        <w:sz w:val="18"/>
        <w:szCs w:val="14"/>
      </w:rPr>
    </w:pPr>
    <w:r>
      <w:rPr>
        <w:sz w:val="18"/>
        <w:szCs w:val="14"/>
        <w:lang w:val="ta"/>
      </w:rPr>
      <w:tab/>
    </w:r>
    <w:r>
      <w:rPr>
        <w:sz w:val="18"/>
        <w:szCs w:val="14"/>
        <w:lang w:val="ta"/>
      </w:rPr>
      <w:fldChar w:fldCharType="begin"/>
    </w:r>
    <w:r>
      <w:rPr>
        <w:sz w:val="18"/>
        <w:szCs w:val="14"/>
        <w:lang w:val="ta"/>
      </w:rPr>
      <w:instrText xml:space="preserve"> PAGE   \* MERGEFORMAT </w:instrText>
    </w:r>
    <w:r>
      <w:rPr>
        <w:sz w:val="18"/>
        <w:szCs w:val="14"/>
        <w:lang w:val="ta"/>
      </w:rPr>
      <w:fldChar w:fldCharType="separate"/>
    </w:r>
    <w:r>
      <w:rPr>
        <w:noProof/>
        <w:sz w:val="18"/>
        <w:szCs w:val="14"/>
        <w:lang w:val="ta"/>
      </w:rPr>
      <w:t>2</w:t>
    </w:r>
    <w:r>
      <w:rPr>
        <w:sz w:val="18"/>
        <w:szCs w:val="14"/>
        <w:lang w:val="ta"/>
      </w:rPr>
      <w:fldChar w:fldCharType="end"/>
    </w:r>
    <w:r>
      <w:rPr>
        <w:sz w:val="18"/>
        <w:szCs w:val="14"/>
        <w:lang w:val="ta"/>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FBB372F" w:rsidR="00440775" w:rsidRPr="003E7296" w:rsidRDefault="001E1668" w:rsidP="001E1668">
    <w:pPr>
      <w:pStyle w:val="Footer"/>
      <w:rPr>
        <w:sz w:val="18"/>
        <w:szCs w:val="14"/>
      </w:rPr>
    </w:pPr>
    <w:r>
      <w:rPr>
        <w:lang w:val="ta"/>
      </w:rPr>
      <w:tab/>
    </w:r>
    <w:r>
      <w:rPr>
        <w:lang w:val="t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ta"/>
          </w:rPr>
          <w:t>D24/0256674</w:t>
        </w:r>
      </w:sdtContent>
    </w:sdt>
  </w:p>
  <w:p w14:paraId="0E2C46A7" w14:textId="0337A0DE" w:rsidR="00AF71AF" w:rsidRPr="00FE0C8C" w:rsidRDefault="00440775" w:rsidP="001E1668">
    <w:pPr>
      <w:pStyle w:val="Footer"/>
      <w:rPr>
        <w:sz w:val="18"/>
        <w:szCs w:val="14"/>
      </w:rPr>
    </w:pPr>
    <w:r>
      <w:rPr>
        <w:color w:val="auto"/>
        <w:sz w:val="18"/>
        <w:szCs w:val="14"/>
        <w:lang w:val="ta"/>
      </w:rPr>
      <w:tab/>
    </w:r>
    <w:r>
      <w:rPr>
        <w:color w:val="auto"/>
        <w:sz w:val="18"/>
        <w:szCs w:val="14"/>
        <w:lang w:val="ta"/>
      </w:rPr>
      <w:tab/>
    </w:r>
    <w:r>
      <w:rPr>
        <w:sz w:val="18"/>
        <w:szCs w:val="14"/>
        <w:lang w:val="ta"/>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CF37" w14:textId="77777777" w:rsidR="009261FF" w:rsidRDefault="009261FF" w:rsidP="00127DAD">
      <w:r>
        <w:separator/>
      </w:r>
    </w:p>
  </w:footnote>
  <w:footnote w:type="continuationSeparator" w:id="0">
    <w:p w14:paraId="5E5A24A9" w14:textId="77777777" w:rsidR="009261FF" w:rsidRDefault="009261F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77777777" w:rsidR="00633068" w:rsidRDefault="00633068">
    <w:pPr>
      <w:pStyle w:val="Header"/>
    </w:pPr>
    <w:r>
      <w:rPr>
        <w:noProof/>
        <w:lang w:val="ta"/>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6DC9BE8B" w:rsidR="00916AF7" w:rsidRDefault="004D039F" w:rsidP="00127DAD">
    <w:pPr>
      <w:pStyle w:val="Header"/>
    </w:pPr>
    <w:r>
      <w:rPr>
        <w:noProof/>
      </w:rPr>
      <mc:AlternateContent>
        <mc:Choice Requires="wps">
          <w:drawing>
            <wp:anchor distT="45720" distB="45720" distL="114300" distR="114300" simplePos="0" relativeHeight="251660800" behindDoc="0" locked="0" layoutInCell="1" allowOverlap="1" wp14:anchorId="6F9FC09F" wp14:editId="3634ED3F">
              <wp:simplePos x="0" y="0"/>
              <wp:positionH relativeFrom="rightMargin">
                <wp:align>left</wp:align>
              </wp:positionH>
              <wp:positionV relativeFrom="paragraph">
                <wp:posOffset>-174929</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D8BE5C2" w14:textId="390B0EA6" w:rsidR="004D039F" w:rsidRPr="004D039F" w:rsidRDefault="004D039F">
                          <w:pPr>
                            <w:rPr>
                              <w:rFonts w:hint="eastAsia"/>
                              <w:color w:val="404040" w:themeColor="text1" w:themeTint="BF"/>
                              <w:sz w:val="18"/>
                              <w:szCs w:val="18"/>
                            </w:rPr>
                          </w:pPr>
                          <w:r w:rsidRPr="004D039F">
                            <w:rPr>
                              <w:rFonts w:hint="eastAsia"/>
                              <w:color w:val="404040" w:themeColor="text1" w:themeTint="BF"/>
                              <w:sz w:val="18"/>
                              <w:szCs w:val="18"/>
                              <w:lang w:eastAsia="zh-CN"/>
                            </w:rPr>
                            <w:t>Tamil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9FC09F" id="_x0000_t202" coordsize="21600,21600" o:spt="202" path="m,l,21600r21600,l21600,xe">
              <v:stroke joinstyle="miter"/>
              <v:path gradientshapeok="t" o:connecttype="rect"/>
            </v:shapetype>
            <v:shape id="Text Box 2" o:spid="_x0000_s1026" type="#_x0000_t202" style="position:absolute;margin-left:0;margin-top:-13.75pt;width:185.9pt;height:110.6pt;z-index:251660800;visibility:visible;mso-wrap-style:square;mso-width-percent:400;mso-height-percent:200;mso-wrap-distance-left:9pt;mso-wrap-distance-top:3.6pt;mso-wrap-distance-right:9pt;mso-wrap-distance-bottom:3.6pt;mso-position-horizontal:left;mso-position-horizontal-relative:right-margin-area;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" filled="f" stroked="f">
              <v:textbox style="mso-fit-shape-to-text:t">
                <w:txbxContent>
                  <w:p w14:paraId="7D8BE5C2" w14:textId="390B0EA6" w:rsidR="004D039F" w:rsidRPr="004D039F" w:rsidRDefault="004D039F">
                    <w:pPr>
                      <w:rPr>
                        <w:rFonts w:hint="eastAsia"/>
                        <w:color w:val="404040" w:themeColor="text1" w:themeTint="BF"/>
                        <w:sz w:val="18"/>
                        <w:szCs w:val="18"/>
                      </w:rPr>
                    </w:pPr>
                    <w:r w:rsidRPr="004D039F">
                      <w:rPr>
                        <w:rFonts w:hint="eastAsia"/>
                        <w:color w:val="404040" w:themeColor="text1" w:themeTint="BF"/>
                        <w:sz w:val="18"/>
                        <w:szCs w:val="18"/>
                        <w:lang w:eastAsia="zh-CN"/>
                      </w:rPr>
                      <w:t>Tamil</w:t>
                    </w:r>
                  </w:p>
                </w:txbxContent>
              </v:textbox>
              <w10:wrap type="square" anchorx="margin"/>
            </v:shape>
          </w:pict>
        </mc:Fallback>
      </mc:AlternateContent>
    </w:r>
    <w:r w:rsidR="00DD5BF0">
      <w:rPr>
        <w:noProof/>
        <w:lang w:val="ta"/>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ta"/>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52680"/>
    <w:rsid w:val="000626CD"/>
    <w:rsid w:val="0007329C"/>
    <w:rsid w:val="00073C07"/>
    <w:rsid w:val="000776FB"/>
    <w:rsid w:val="00077ED0"/>
    <w:rsid w:val="00092DEE"/>
    <w:rsid w:val="000A5C8A"/>
    <w:rsid w:val="000A6D78"/>
    <w:rsid w:val="000B0131"/>
    <w:rsid w:val="000B2747"/>
    <w:rsid w:val="000B6A3E"/>
    <w:rsid w:val="000C58B8"/>
    <w:rsid w:val="000E61C9"/>
    <w:rsid w:val="000F3848"/>
    <w:rsid w:val="000F6D5A"/>
    <w:rsid w:val="00117BC1"/>
    <w:rsid w:val="00125098"/>
    <w:rsid w:val="00127DAD"/>
    <w:rsid w:val="0013587A"/>
    <w:rsid w:val="0017483D"/>
    <w:rsid w:val="00177D2D"/>
    <w:rsid w:val="00185215"/>
    <w:rsid w:val="001B2283"/>
    <w:rsid w:val="001C79C3"/>
    <w:rsid w:val="001D4434"/>
    <w:rsid w:val="001D492C"/>
    <w:rsid w:val="001D6AB1"/>
    <w:rsid w:val="001E1668"/>
    <w:rsid w:val="001E62CB"/>
    <w:rsid w:val="001F63E2"/>
    <w:rsid w:val="002057F1"/>
    <w:rsid w:val="00237DA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57AC"/>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E7296"/>
    <w:rsid w:val="004103B9"/>
    <w:rsid w:val="00414D84"/>
    <w:rsid w:val="0042142B"/>
    <w:rsid w:val="00424303"/>
    <w:rsid w:val="004245B2"/>
    <w:rsid w:val="00440775"/>
    <w:rsid w:val="0044231C"/>
    <w:rsid w:val="004457C7"/>
    <w:rsid w:val="0045201C"/>
    <w:rsid w:val="004661A2"/>
    <w:rsid w:val="00466E52"/>
    <w:rsid w:val="004A2133"/>
    <w:rsid w:val="004B06B1"/>
    <w:rsid w:val="004C6818"/>
    <w:rsid w:val="004D039F"/>
    <w:rsid w:val="004D0B2E"/>
    <w:rsid w:val="0050052A"/>
    <w:rsid w:val="005007C0"/>
    <w:rsid w:val="005045E0"/>
    <w:rsid w:val="00566FE9"/>
    <w:rsid w:val="00567D4C"/>
    <w:rsid w:val="005728CD"/>
    <w:rsid w:val="005A1925"/>
    <w:rsid w:val="005B118D"/>
    <w:rsid w:val="005B2D97"/>
    <w:rsid w:val="005D0F5C"/>
    <w:rsid w:val="005E1145"/>
    <w:rsid w:val="005E1703"/>
    <w:rsid w:val="005E7D74"/>
    <w:rsid w:val="0060579B"/>
    <w:rsid w:val="00620FC1"/>
    <w:rsid w:val="00633068"/>
    <w:rsid w:val="0065350E"/>
    <w:rsid w:val="0066015D"/>
    <w:rsid w:val="0066581B"/>
    <w:rsid w:val="0066616A"/>
    <w:rsid w:val="006723BD"/>
    <w:rsid w:val="006926AB"/>
    <w:rsid w:val="00694952"/>
    <w:rsid w:val="0069523A"/>
    <w:rsid w:val="006A1BE6"/>
    <w:rsid w:val="006A3C91"/>
    <w:rsid w:val="006B214C"/>
    <w:rsid w:val="006D0BC0"/>
    <w:rsid w:val="006F639D"/>
    <w:rsid w:val="00733C11"/>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D7EFC"/>
    <w:rsid w:val="008E6F71"/>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43B6C"/>
    <w:rsid w:val="00A44533"/>
    <w:rsid w:val="00A54E0A"/>
    <w:rsid w:val="00A64252"/>
    <w:rsid w:val="00A64930"/>
    <w:rsid w:val="00A66AAD"/>
    <w:rsid w:val="00A759C6"/>
    <w:rsid w:val="00A8272B"/>
    <w:rsid w:val="00AA413D"/>
    <w:rsid w:val="00AB4166"/>
    <w:rsid w:val="00AC269B"/>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69D2"/>
    <w:rsid w:val="00B90E8D"/>
    <w:rsid w:val="00B929DA"/>
    <w:rsid w:val="00BA12A1"/>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12D8"/>
    <w:rsid w:val="00CD3045"/>
    <w:rsid w:val="00CE19F1"/>
    <w:rsid w:val="00D000C5"/>
    <w:rsid w:val="00D14913"/>
    <w:rsid w:val="00D21BAC"/>
    <w:rsid w:val="00D30C69"/>
    <w:rsid w:val="00D40239"/>
    <w:rsid w:val="00D544F4"/>
    <w:rsid w:val="00D65750"/>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8161E"/>
    <w:rsid w:val="00F84DE1"/>
    <w:rsid w:val="00F926A5"/>
    <w:rsid w:val="00FA03FB"/>
    <w:rsid w:val="00FA1899"/>
    <w:rsid w:val="00FA771C"/>
    <w:rsid w:val="00FB6D45"/>
    <w:rsid w:val="00FC4262"/>
    <w:rsid w:val="00FC6FAE"/>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63BFE"/>
    <w:rsid w:val="003F43C2"/>
    <w:rsid w:val="00462B0A"/>
    <w:rsid w:val="004C60B5"/>
    <w:rsid w:val="00702A54"/>
    <w:rsid w:val="00716BF8"/>
    <w:rsid w:val="00991E2F"/>
    <w:rsid w:val="00BD046A"/>
    <w:rsid w:val="00CD12D8"/>
    <w:rsid w:val="00D000C5"/>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4EBA8-8B53-41E4-84A6-3B1ADD3AB11B}"/>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A2D9C805-7AD8-4979-B0A9-EB9EF313543B}">
  <ds:schemaRefs>
    <ds:schemaRef ds:uri="http://purl.org/dc/terms/"/>
    <ds:schemaRef ds:uri="http://www.w3.org/XML/1998/namespace"/>
    <ds:schemaRef ds:uri="http://purl.org/dc/elements/1.1/"/>
    <ds:schemaRef ds:uri="d6520638-0d4b-4f10-b9f9-cc818b5e466b"/>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07053F7-ABBB-4A18-BCAA-F847C4806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David Wu</cp:lastModifiedBy>
  <cp:revision>5</cp:revision>
  <cp:lastPrinted>2025-04-09T05:54:00Z</cp:lastPrinted>
  <dcterms:created xsi:type="dcterms:W3CDTF">2025-02-18T03:29:00Z</dcterms:created>
  <dcterms:modified xsi:type="dcterms:W3CDTF">2025-04-09T05:54:00Z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