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77777777" w:rsidR="00CB54C3" w:rsidRDefault="00CB54C3" w:rsidP="00CC69FE">
      <w:pPr>
        <w:pStyle w:val="Title"/>
        <w:spacing w:before="84" w:after="0"/>
        <w:ind w:right="-2"/>
        <w:rPr>
          <w:bCs/>
        </w:rPr>
      </w:pPr>
      <w:bookmarkStart w:id="0" w:name="_Hlk103166844"/>
      <w:bookmarkStart w:id="1" w:name="_Toc84334888"/>
      <w:r>
        <w:rPr>
          <w:bCs/>
          <w:lang w:val="vi"/>
        </w:rPr>
        <w:t>Bằng Tốt nghiệp cấp 3 bang Tây Úc</w:t>
      </w:r>
    </w:p>
    <w:p w14:paraId="0B0DC4B8" w14:textId="2D58F194" w:rsidR="00CB54C3" w:rsidRPr="00CB54C3" w:rsidRDefault="00CB54C3" w:rsidP="00CC69FE">
      <w:pPr>
        <w:pStyle w:val="Title"/>
        <w:ind w:right="-2"/>
        <w:rPr>
          <w:b w:val="0"/>
          <w:color w:val="auto"/>
          <w:sz w:val="36"/>
        </w:rPr>
      </w:pPr>
      <w:r>
        <w:rPr>
          <w:bCs/>
          <w:color w:val="auto"/>
          <w:sz w:val="36"/>
          <w:lang w:val="vi"/>
        </w:rPr>
        <w:t>Thông tin cho phụ huynh và người chăm sóc</w:t>
      </w:r>
    </w:p>
    <w:bookmarkEnd w:id="0"/>
    <w:bookmarkEnd w:id="1"/>
    <w:p w14:paraId="59E68BF3" w14:textId="649249B0" w:rsidR="00CB54C3" w:rsidRPr="005D1D94" w:rsidRDefault="00CB54C3" w:rsidP="005D1D94">
      <w:pPr>
        <w:pStyle w:val="Heading1"/>
        <w:spacing w:before="0" w:after="120"/>
        <w:rPr>
          <w:spacing w:val="-4"/>
          <w:sz w:val="26"/>
          <w:szCs w:val="26"/>
        </w:rPr>
      </w:pPr>
      <w:r>
        <w:rPr>
          <w:bCs/>
          <w:sz w:val="26"/>
          <w:szCs w:val="26"/>
          <w:lang w:val="vi"/>
        </w:rPr>
        <w:t>WACE và WASSA</w:t>
      </w:r>
    </w:p>
    <w:p w14:paraId="7C93DB3D" w14:textId="49446D14" w:rsidR="00CB54C3" w:rsidRPr="009E4806" w:rsidRDefault="00CB54C3" w:rsidP="005D1D94">
      <w:pPr>
        <w:widowControl w:val="0"/>
        <w:autoSpaceDE w:val="0"/>
        <w:autoSpaceDN w:val="0"/>
        <w:spacing w:before="1"/>
        <w:ind w:right="-2"/>
        <w:rPr>
          <w:rFonts w:eastAsia="Arial"/>
          <w:spacing w:val="-2"/>
          <w:szCs w:val="22"/>
          <w:lang w:val="vi"/>
        </w:rPr>
      </w:pPr>
      <w:r>
        <w:rPr>
          <w:rFonts w:eastAsia="Arial"/>
          <w:szCs w:val="22"/>
          <w:lang w:val="vi"/>
        </w:rPr>
        <w:t>Bằng Tốt nghiệp cấp 3 bang Tây Úc (WACE) là bằng tốt nghiệp cấp 3 được công nhận toàn quốc trong Khuôn khổ hệ thống Bằng cấp của Úc. WACE được trao cho các học sinh hoàn tất thành công 2 năm cấp 3 và đạt tiêu chuẩn yêu cầu. WACE được công nhận bởi các đại học, những cơ sở đào tạo đại học khác và ngành công nghiệp.</w:t>
      </w:r>
    </w:p>
    <w:p w14:paraId="3378ECC0" w14:textId="77777777" w:rsidR="00513A27" w:rsidRPr="009E4806" w:rsidRDefault="00513A27" w:rsidP="005D1D94">
      <w:pPr>
        <w:widowControl w:val="0"/>
        <w:autoSpaceDE w:val="0"/>
        <w:autoSpaceDN w:val="0"/>
        <w:spacing w:before="1"/>
        <w:ind w:right="-2"/>
        <w:rPr>
          <w:rFonts w:eastAsia="Arial"/>
          <w:szCs w:val="22"/>
          <w:lang w:val="vi"/>
        </w:rPr>
      </w:pPr>
    </w:p>
    <w:p w14:paraId="1ACEFA1D" w14:textId="465790D1" w:rsidR="00513A27" w:rsidRPr="009E4806" w:rsidRDefault="00CB54C3" w:rsidP="005D1D94">
      <w:pPr>
        <w:pStyle w:val="BodyText"/>
        <w:ind w:right="-2"/>
        <w:rPr>
          <w:lang w:val="vi"/>
        </w:rPr>
      </w:pPr>
      <w:r>
        <w:rPr>
          <w:lang w:val="vi"/>
        </w:rPr>
        <w:t>Tất cả học sinh nhận Chứng nhận Thành tích Học tập bang Tây Úc (WASSA) khi họ hoàn tất Lớp 12. WASSA chính thức ghi nhận thành tích học tập của học sinh ở mỗi môn, bằng cấp và chương trình đã được hoàn thành ở cấp 3.</w:t>
      </w:r>
    </w:p>
    <w:p w14:paraId="0EF80CEA" w14:textId="759E0C2F" w:rsidR="005007C0" w:rsidRPr="009E4806" w:rsidRDefault="005007C0" w:rsidP="00A8206D">
      <w:pPr>
        <w:pStyle w:val="BodyText"/>
        <w:ind w:right="-2"/>
        <w:rPr>
          <w:lang w:val="vi"/>
        </w:rPr>
      </w:pPr>
    </w:p>
    <w:p w14:paraId="089789EE" w14:textId="54657AA6" w:rsidR="00217461" w:rsidRPr="009E4806" w:rsidRDefault="00217461" w:rsidP="00DB16A8">
      <w:pPr>
        <w:pStyle w:val="Heading1"/>
        <w:spacing w:before="0" w:after="120"/>
        <w:ind w:right="-2"/>
        <w:rPr>
          <w:sz w:val="26"/>
          <w:szCs w:val="26"/>
          <w:lang w:val="vi"/>
        </w:rPr>
      </w:pPr>
      <w:r>
        <w:rPr>
          <w:bCs/>
          <w:sz w:val="26"/>
          <w:szCs w:val="26"/>
          <w:lang w:val="vi"/>
        </w:rPr>
        <w:t>Các yêu cầu của WACE là gì?</w:t>
      </w:r>
    </w:p>
    <w:p w14:paraId="3B908429" w14:textId="260DB322" w:rsidR="005C3D20" w:rsidRPr="009E4806" w:rsidRDefault="00217461" w:rsidP="00DB16A8">
      <w:pPr>
        <w:tabs>
          <w:tab w:val="left" w:pos="426"/>
        </w:tabs>
        <w:ind w:right="-2"/>
        <w:rPr>
          <w:lang w:val="vi"/>
        </w:rPr>
      </w:pPr>
      <w:r>
        <w:rPr>
          <w:lang w:val="vi"/>
        </w:rPr>
        <w:t>Để đạt WACE học sinh phải:</w:t>
      </w:r>
    </w:p>
    <w:p w14:paraId="5F171CAE" w14:textId="55176885" w:rsidR="00BF3E72" w:rsidRPr="009E4806" w:rsidRDefault="00BF3E72" w:rsidP="00DB16A8">
      <w:pPr>
        <w:pStyle w:val="ListParagraph"/>
        <w:widowControl w:val="0"/>
        <w:numPr>
          <w:ilvl w:val="0"/>
          <w:numId w:val="23"/>
        </w:numPr>
        <w:autoSpaceDE w:val="0"/>
        <w:autoSpaceDN w:val="0"/>
        <w:ind w:right="-2"/>
        <w:rPr>
          <w:lang w:val="vi"/>
        </w:rPr>
      </w:pPr>
      <w:r>
        <w:rPr>
          <w:lang w:val="vi"/>
        </w:rPr>
        <w:t>hoàn tất tối thiểu 20 đơn vị học trình, hoặc tương đương</w:t>
      </w:r>
    </w:p>
    <w:p w14:paraId="7EBBCDD9" w14:textId="64E5CDDA" w:rsidR="00217461" w:rsidRPr="009E4806" w:rsidRDefault="000129D8" w:rsidP="00DB16A8">
      <w:pPr>
        <w:pStyle w:val="ListParagraph"/>
        <w:widowControl w:val="0"/>
        <w:numPr>
          <w:ilvl w:val="0"/>
          <w:numId w:val="23"/>
        </w:numPr>
        <w:autoSpaceDE w:val="0"/>
        <w:autoSpaceDN w:val="0"/>
        <w:ind w:right="-2"/>
        <w:rPr>
          <w:lang w:val="vi"/>
        </w:rPr>
      </w:pPr>
      <w:r>
        <w:rPr>
          <w:lang w:val="vi"/>
        </w:rPr>
        <w:t>hoàn tất một trong 3 lựa chọn kết hợp môn:</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vi"/>
        </w:rPr>
        <w:t>ít nhất 4 môn ATAR Lớp 12</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vi"/>
        </w:rPr>
        <w:t>ít nhất 5 môn Tổng quát Lớp 12 (hoặc kết hợp các môn Tổng quát và tối đa 3 môn ATAR Lớp 12) hoặc tương đương</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vi"/>
        </w:rPr>
        <w:t>hoàn tất Chứng chỉ VET Cấp độ II (hoặc cao hơn) kết hợp với các môn ATAR, Tổng quát hoặc Nền tảng.</w:t>
      </w:r>
    </w:p>
    <w:p w14:paraId="70675624" w14:textId="0CA9C4D4" w:rsidR="00217461" w:rsidRPr="00BF3E72" w:rsidRDefault="00BF3E72" w:rsidP="00BF3E72">
      <w:pPr>
        <w:pStyle w:val="ListParagraph"/>
        <w:numPr>
          <w:ilvl w:val="0"/>
          <w:numId w:val="23"/>
        </w:numPr>
        <w:tabs>
          <w:tab w:val="left" w:pos="426"/>
        </w:tabs>
        <w:ind w:right="-2"/>
      </w:pPr>
      <w:r>
        <w:rPr>
          <w:lang w:val="vi"/>
        </w:rPr>
        <w:t>chuẩn tối thiểu biết đọc viết và chuẩn tối thiểu biết tính toán</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vi"/>
        </w:rPr>
        <w:t>đạt các yêu cầu về độ rộng và sâu trong học tập</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vi"/>
        </w:rPr>
        <w:t>đạt chuẩn thành tích ít nhất 14 điểm C hoặc cao hơn trong Lớp 11 và 12, bao gồm ít nhất 6 điểm C (hoặc tương đương) trong Lớp 12.</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DB16A8" w:rsidRDefault="00217461" w:rsidP="00DB16A8">
      <w:pPr>
        <w:pStyle w:val="Heading1"/>
        <w:spacing w:before="0" w:after="120"/>
        <w:ind w:right="-2"/>
        <w:rPr>
          <w:sz w:val="26"/>
          <w:szCs w:val="26"/>
        </w:rPr>
      </w:pPr>
      <w:r>
        <w:rPr>
          <w:bCs/>
          <w:sz w:val="26"/>
          <w:szCs w:val="26"/>
          <w:lang w:val="vi"/>
        </w:rPr>
        <w:t>Những lựa chọn học WACE là gì?</w:t>
      </w:r>
    </w:p>
    <w:p w14:paraId="662D89C4" w14:textId="55A9E1F0" w:rsidR="00217461" w:rsidRPr="00217461" w:rsidRDefault="00217461" w:rsidP="00DB16A8">
      <w:pPr>
        <w:ind w:right="-2"/>
      </w:pPr>
      <w:r>
        <w:rPr>
          <w:lang w:val="vi"/>
        </w:rPr>
        <w:t>Học sinh được cho 3 lựa chọn học tập mà họ có thể phối hợp và ghép bao gồm:</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vi"/>
        </w:rPr>
        <w:t>các môn WACE, bao gồm ATAR, Tổng quát và Nền tảng</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vi"/>
        </w:rPr>
        <w:t>Bằng cấp VET</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vi"/>
        </w:rPr>
        <w:t>các chương trình được chấp thuận.</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vi"/>
        </w:rPr>
        <w:t>Các yêu cầu về chuẩn biết đọc viết và tính toán</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vi"/>
        </w:rPr>
        <w:t>Học sinh phải chứng minh chuẩn tối thiểu về biết đọc viết và tính toán bằng một trong hai cách:</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vi"/>
        </w:rPr>
        <w:t xml:space="preserve">đạt chứng nhận trước thông qua các kiểm tra đọc, viết và tính toán của Chương trình Đánh giá Quốc gia Lớp 9 - Đọc viết và Tính toán (NAPLAN)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vi"/>
        </w:rPr>
        <w:t>hoàn tất thành công Đánh giá Đọc viết và Tính toán Trực tuyến (OLNA)</w:t>
      </w:r>
    </w:p>
    <w:p w14:paraId="196DE0C8" w14:textId="3DB9F0F8" w:rsidR="00986D50" w:rsidRPr="00046A0A" w:rsidRDefault="00986D50" w:rsidP="008C4588">
      <w:pPr>
        <w:pStyle w:val="ListParagraph"/>
        <w:widowControl w:val="0"/>
        <w:autoSpaceDE w:val="0"/>
        <w:autoSpaceDN w:val="0"/>
        <w:ind w:left="720" w:right="-2" w:firstLine="0"/>
        <w:rPr>
          <w:rFonts w:eastAsia="Arial"/>
          <w:szCs w:val="22"/>
        </w:rPr>
      </w:pPr>
      <w:hyperlink r:id="rId13" w:history="1">
        <w:r>
          <w:rPr>
            <w:rStyle w:val="Hyperlink"/>
            <w:lang w:val="vi"/>
          </w:rPr>
          <w:t>https://senior-secondary.scsa.wa.edu.au/assessment/olna/prequalification-through-naplan</w:t>
        </w:r>
      </w:hyperlink>
    </w:p>
    <w:p w14:paraId="43974286" w14:textId="6D36B1E6" w:rsidR="00046A0A" w:rsidRDefault="00046A0A" w:rsidP="00DB16A8">
      <w:pPr>
        <w:pStyle w:val="ListParagraph"/>
        <w:widowControl w:val="0"/>
        <w:autoSpaceDE w:val="0"/>
        <w:autoSpaceDN w:val="0"/>
        <w:ind w:left="720" w:right="-2" w:firstLine="0"/>
        <w:rPr>
          <w:rFonts w:eastAsia="Arial"/>
          <w:szCs w:val="22"/>
        </w:rPr>
      </w:pPr>
    </w:p>
    <w:p w14:paraId="576B1D29" w14:textId="77777777" w:rsidR="00EC285C" w:rsidRDefault="00EC285C" w:rsidP="00DB16A8">
      <w:pPr>
        <w:pStyle w:val="Heading1"/>
        <w:spacing w:before="0" w:after="0"/>
      </w:pPr>
    </w:p>
    <w:p w14:paraId="3E99A7EB" w14:textId="77777777" w:rsidR="00EB01BE" w:rsidRDefault="00EB01BE" w:rsidP="00DB16A8">
      <w:pPr>
        <w:pStyle w:val="Heading1"/>
        <w:spacing w:before="0" w:after="0"/>
        <w:sectPr w:rsidR="00EB01BE"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434AA209" w:rsidR="00217461" w:rsidRPr="00DB16A8" w:rsidRDefault="00217461" w:rsidP="00DB16A8">
      <w:pPr>
        <w:pStyle w:val="Heading1"/>
        <w:spacing w:before="0" w:after="0"/>
        <w:rPr>
          <w:spacing w:val="-2"/>
          <w:sz w:val="22"/>
          <w:szCs w:val="22"/>
        </w:rPr>
      </w:pPr>
      <w:r>
        <w:rPr>
          <w:bCs/>
          <w:lang w:val="vi"/>
        </w:rPr>
        <w:lastRenderedPageBreak/>
        <w:t>Những yêu cầu về độ rộng và sâu</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vi"/>
        </w:rPr>
        <w:t>Học sinh phải hoàn thành tối thiểu 20 đơn vị học trình ở cấp 3, bao gồm:</w:t>
      </w:r>
    </w:p>
    <w:p w14:paraId="0FCCB97F" w14:textId="131AA13C" w:rsidR="00217461"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vi"/>
        </w:rPr>
        <w:t>tối thiểu 10 đơn vị học trình Lớp 12, hoặc tương đương (bao gồm những chương trình được chấp thuận và/hoặc VET)</w:t>
      </w:r>
    </w:p>
    <w:p w14:paraId="203FCFB2" w14:textId="6653A463" w:rsidR="00C17BF9" w:rsidRPr="001C3399" w:rsidRDefault="00DB16A8" w:rsidP="00DB16A8">
      <w:pPr>
        <w:pStyle w:val="ListParagraph"/>
        <w:widowControl w:val="0"/>
        <w:numPr>
          <w:ilvl w:val="0"/>
          <w:numId w:val="23"/>
        </w:numPr>
        <w:autoSpaceDE w:val="0"/>
        <w:autoSpaceDN w:val="0"/>
        <w:ind w:left="723" w:right="-2"/>
        <w:rPr>
          <w:rFonts w:eastAsia="Arial"/>
          <w:szCs w:val="22"/>
        </w:rPr>
      </w:pPr>
      <w:r>
        <w:rPr>
          <w:rFonts w:eastAsia="Arial"/>
          <w:szCs w:val="22"/>
          <w:lang w:val="vi"/>
        </w:rPr>
        <w:t>4 đơn vị học trình từ một môn học trong lĩnh vực tiếng Anh, sau Lớp 10, bao gồm ít nhất một cặp đơn vị học trình Lớp 12 từ một môn học trong lĩnh vực tiếng Anh</w:t>
      </w:r>
    </w:p>
    <w:p w14:paraId="4B0F9E27" w14:textId="05CB724D"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vi"/>
        </w:rPr>
        <w:t>một cặp đơn vị học trình Lớp 12 từ Danh sách A (nghệ thuật, ngôn ngữ, khoa học xã hội)</w:t>
      </w:r>
    </w:p>
    <w:p w14:paraId="31332ABE" w14:textId="7683FD77"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vi"/>
        </w:rPr>
        <w:t>một cặp đơn vị học trình Lớp 12 từ Danh sách B (toán, khoa học, công nghệ kỹ thuật)</w:t>
      </w:r>
    </w:p>
    <w:p w14:paraId="6C8AC234" w14:textId="77777777" w:rsidR="00BF391F" w:rsidRPr="00DB16A8" w:rsidRDefault="00BF391F" w:rsidP="00BF391F">
      <w:pPr>
        <w:pStyle w:val="Heading1"/>
        <w:spacing w:before="0" w:after="0"/>
        <w:ind w:right="-2"/>
        <w:rPr>
          <w:sz w:val="22"/>
          <w:szCs w:val="22"/>
        </w:rPr>
      </w:pPr>
    </w:p>
    <w:p w14:paraId="3CD624E7" w14:textId="51F5D711" w:rsidR="00C17BF9" w:rsidRPr="00A8206D" w:rsidRDefault="00C17BF9" w:rsidP="00A8206D">
      <w:pPr>
        <w:pStyle w:val="Heading1"/>
        <w:spacing w:before="0" w:after="120"/>
        <w:ind w:right="-2"/>
        <w:rPr>
          <w:sz w:val="22"/>
          <w:szCs w:val="22"/>
        </w:rPr>
      </w:pPr>
      <w:r>
        <w:rPr>
          <w:bCs/>
          <w:lang w:val="vi"/>
        </w:rPr>
        <w:t>Yêu cầu về chuẩn thành tích</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vi"/>
        </w:rPr>
        <w:t>Học sinh phải đạt ít nhất 14 điểm C hoặc tương đương trong các đơn vị học trình Lớp 11 và Lớp 12, bao gồm ít nhất 6 điểm C hoặc tương đương trong các đơn vị học trình Lớp 12.</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Default="00CE0374" w:rsidP="00A8206D">
      <w:pPr>
        <w:pStyle w:val="Heading1"/>
        <w:spacing w:before="0" w:after="120"/>
      </w:pPr>
      <w:r>
        <w:rPr>
          <w:bCs/>
          <w:lang w:val="vi"/>
        </w:rPr>
        <w:t>Nguồn lực</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vi"/>
        </w:rPr>
        <w:t>SCSA có một địa chỉ mạng dành riêng cho phụ huynh và cộng đồng cung cấp thông tin về:</w:t>
      </w:r>
    </w:p>
    <w:p w14:paraId="2563E4D6" w14:textId="2442FAAD" w:rsidR="00C1212C"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vi"/>
        </w:rPr>
        <w:t>những gì trẻ em và người trẻ nên học</w:t>
      </w:r>
    </w:p>
    <w:p w14:paraId="2E64F2E1" w14:textId="0824AB8A" w:rsidR="00986D50"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vi"/>
        </w:rPr>
        <w:t>cách họ được đánh giá</w:t>
      </w:r>
    </w:p>
    <w:p w14:paraId="7398D533" w14:textId="143FC854" w:rsidR="00986D50" w:rsidRPr="00A8206D" w:rsidRDefault="00C1212C" w:rsidP="008C4588">
      <w:pPr>
        <w:pStyle w:val="ListParagraph"/>
        <w:widowControl w:val="0"/>
        <w:numPr>
          <w:ilvl w:val="0"/>
          <w:numId w:val="23"/>
        </w:numPr>
        <w:autoSpaceDE w:val="0"/>
        <w:autoSpaceDN w:val="0"/>
        <w:ind w:right="-2"/>
      </w:pPr>
      <w:r>
        <w:rPr>
          <w:rFonts w:eastAsia="Arial"/>
          <w:szCs w:val="22"/>
          <w:lang w:val="vi"/>
        </w:rPr>
        <w:t>các chuẩn mà trẻ em và người trẻ được mong đợi phải đạt ở mỗi cấp lớp.</w:t>
      </w:r>
    </w:p>
    <w:p w14:paraId="37EFA7D1" w14:textId="6A33BE5A" w:rsidR="00C1212C" w:rsidRPr="00986D50" w:rsidRDefault="00986D50" w:rsidP="008C4588">
      <w:pPr>
        <w:pStyle w:val="ListParagraph"/>
        <w:widowControl w:val="0"/>
        <w:tabs>
          <w:tab w:val="clear" w:pos="1361"/>
          <w:tab w:val="left" w:pos="709"/>
        </w:tabs>
        <w:autoSpaceDE w:val="0"/>
        <w:autoSpaceDN w:val="0"/>
        <w:ind w:left="1361" w:right="-2" w:hanging="652"/>
        <w:rPr>
          <w:rFonts w:eastAsia="Arial"/>
          <w:szCs w:val="22"/>
        </w:rPr>
      </w:pPr>
      <w:hyperlink r:id="rId18" w:history="1">
        <w:r>
          <w:rPr>
            <w:rStyle w:val="Hyperlink"/>
            <w:rFonts w:eastAsia="Arial"/>
            <w:szCs w:val="22"/>
            <w:lang w:val="vi"/>
          </w:rPr>
          <w:t>https://parent.scsa.wa.edu.au/</w:t>
        </w:r>
      </w:hyperlink>
      <w:r>
        <w:rPr>
          <w:rFonts w:eastAsia="Arial"/>
          <w:szCs w:val="22"/>
          <w:lang w:val="vi"/>
        </w:rPr>
        <w:t xml:space="preserve">   </w:t>
      </w:r>
    </w:p>
    <w:sectPr w:rsidR="00C1212C" w:rsidRPr="00986D50" w:rsidSect="00E14A06">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vi"/>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D24/0265614</w:t>
        </w:r>
      </w:sdtContent>
    </w:sdt>
  </w:p>
  <w:p w14:paraId="03E59852" w14:textId="0FF1302C" w:rsidR="00293D0A" w:rsidRDefault="0077614D" w:rsidP="00B25322">
    <w:pPr>
      <w:pStyle w:val="Footer"/>
      <w:tabs>
        <w:tab w:val="clear" w:pos="4536"/>
        <w:tab w:val="center" w:pos="4535"/>
      </w:tabs>
    </w:pPr>
    <w:r>
      <w:rPr>
        <w:lang w:val="vi"/>
      </w:rPr>
      <w:tab/>
    </w:r>
    <w:r>
      <w:rPr>
        <w:lang w:val="vi"/>
      </w:rPr>
      <w:tab/>
    </w:r>
    <w:r>
      <w:rPr>
        <w:sz w:val="18"/>
        <w:szCs w:val="14"/>
        <w:lang w:val="vi"/>
      </w:rPr>
      <w:t>February 2025</w:t>
    </w:r>
  </w:p>
  <w:p w14:paraId="23580A94" w14:textId="675EBB12" w:rsidR="00B461B9" w:rsidRDefault="00E14A06" w:rsidP="00E14A06">
    <w:pPr>
      <w:pStyle w:val="Footer"/>
      <w:jc w:val="center"/>
    </w:pPr>
    <w:r>
      <w:rPr>
        <w:lang w:val="v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vi"/>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D24/0265614</w:t>
            </w:r>
          </w:sdtContent>
        </w:sdt>
      </w:p>
      <w:p w14:paraId="7E081B3A" w14:textId="424B81E1" w:rsidR="00B461B9" w:rsidRDefault="00E14A06" w:rsidP="00E14A06">
        <w:pPr>
          <w:pStyle w:val="Footer"/>
        </w:pPr>
        <w:r>
          <w:rPr>
            <w:lang w:val="vi"/>
          </w:rPr>
          <w:tab/>
        </w:r>
        <w:r>
          <w:rPr>
            <w:lang w:val="vi"/>
          </w:rPr>
          <w:tab/>
        </w:r>
        <w:r>
          <w:rPr>
            <w:sz w:val="18"/>
            <w:szCs w:val="14"/>
            <w:lang w:val="vi"/>
          </w:rPr>
          <w:t>February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vi"/>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0951010C" w:rsidR="00CC69FE" w:rsidRDefault="009E4806" w:rsidP="00127DAD">
    <w:pPr>
      <w:pStyle w:val="Header"/>
    </w:pPr>
    <w:r>
      <w:rPr>
        <w:noProof/>
      </w:rPr>
      <mc:AlternateContent>
        <mc:Choice Requires="wps">
          <w:drawing>
            <wp:anchor distT="45720" distB="45720" distL="114300" distR="114300" simplePos="0" relativeHeight="251664896" behindDoc="0" locked="0" layoutInCell="1" allowOverlap="1" wp14:anchorId="03A1F08C" wp14:editId="1AD17FE4">
              <wp:simplePos x="0" y="0"/>
              <wp:positionH relativeFrom="column">
                <wp:posOffset>5719445</wp:posOffset>
              </wp:positionH>
              <wp:positionV relativeFrom="paragraph">
                <wp:posOffset>-135890</wp:posOffset>
              </wp:positionV>
              <wp:extent cx="847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79AB9672" w14:textId="1FC204A8" w:rsidR="009E4806" w:rsidRPr="009E4806" w:rsidRDefault="009E4806">
                          <w:pPr>
                            <w:rPr>
                              <w:color w:val="404040" w:themeColor="text1" w:themeTint="BF"/>
                              <w:sz w:val="18"/>
                              <w:szCs w:val="16"/>
                            </w:rPr>
                          </w:pPr>
                          <w:r w:rsidRPr="009E4806">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1F08C" id="_x0000_t202" coordsize="21600,21600" o:spt="202" path="m,l,21600r21600,l21600,xe">
              <v:stroke joinstyle="miter"/>
              <v:path gradientshapeok="t" o:connecttype="rect"/>
            </v:shapetype>
            <v:shape id="Text Box 2" o:spid="_x0000_s1026" type="#_x0000_t202" style="position:absolute;margin-left:450.35pt;margin-top:-10.7pt;width:66.7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J2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" filled="f" stroked="f">
              <v:textbox style="mso-fit-shape-to-text:t">
                <w:txbxContent>
                  <w:p w14:paraId="79AB9672" w14:textId="1FC204A8" w:rsidR="009E4806" w:rsidRPr="009E4806" w:rsidRDefault="009E4806">
                    <w:pPr>
                      <w:rPr>
                        <w:color w:val="404040" w:themeColor="text1" w:themeTint="BF"/>
                        <w:sz w:val="18"/>
                        <w:szCs w:val="16"/>
                      </w:rPr>
                    </w:pPr>
                    <w:r w:rsidRPr="009E4806">
                      <w:rPr>
                        <w:color w:val="404040" w:themeColor="text1" w:themeTint="BF"/>
                        <w:sz w:val="18"/>
                        <w:szCs w:val="16"/>
                      </w:rPr>
                      <w:t>Vietnamese</w:t>
                    </w:r>
                  </w:p>
                </w:txbxContent>
              </v:textbox>
              <w10:wrap type="square"/>
            </v:shape>
          </w:pict>
        </mc:Fallback>
      </mc:AlternateContent>
    </w:r>
    <w:r w:rsidR="00CC69FE">
      <w:rPr>
        <w:noProof/>
        <w:lang w:val="vi"/>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051D6"/>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E4806"/>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67362"/>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0051D6"/>
    <w:rsid w:val="00255CDE"/>
    <w:rsid w:val="0078418F"/>
    <w:rsid w:val="008F2EC6"/>
    <w:rsid w:val="00906172"/>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3.xml><?xml version="1.0" encoding="utf-8"?>
<ds:datastoreItem xmlns:ds="http://schemas.openxmlformats.org/officeDocument/2006/customXml" ds:itemID="{2B012C80-F117-46E2-9CA3-7A28E5040F3E}"/>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2612</Characters>
  <Application>Microsoft Office Word</Application>
  <DocSecurity>0</DocSecurity>
  <Lines>21</Lines>
  <Paragraphs>6</Paragraphs>
  <ScaleCrop>false</ScaleCrop>
  <Company>Department of Education Western Australia</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33</cp:revision>
  <cp:lastPrinted>2023-02-22T01:18:00Z</cp:lastPrinted>
  <dcterms:created xsi:type="dcterms:W3CDTF">2024-04-16T04:55:00Z</dcterms:created>
  <dcterms:modified xsi:type="dcterms:W3CDTF">2025-04-09T02:18:00Z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