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Cs/>
          <w:lang w:eastAsia="ja"/>
        </w:rPr>
        <w:t>若者が仕事の世界に関わる必要性</w:t>
      </w:r>
    </w:p>
    <w:p w14:paraId="13365051" w14:textId="2EE0E42E" w:rsidR="005007C0" w:rsidRPr="00437728" w:rsidRDefault="00437728" w:rsidP="00054941">
      <w:pPr>
        <w:pStyle w:val="Title"/>
        <w:spacing w:after="360"/>
        <w:rPr>
          <w:rStyle w:val="DocumentSubtitle"/>
          <w:color w:val="auto"/>
        </w:rPr>
      </w:pPr>
      <w:r>
        <w:rPr>
          <w:bCs/>
          <w:color w:val="auto"/>
          <w:sz w:val="36"/>
          <w:lang w:eastAsia="ja"/>
        </w:rPr>
        <w:t>ご両親と保護者・介護者の皆様向けの情報</w:t>
      </w:r>
    </w:p>
    <w:bookmarkEnd w:id="0"/>
    <w:bookmarkEnd w:id="1"/>
    <w:p w14:paraId="4F087164" w14:textId="52F00879" w:rsidR="00437728" w:rsidRPr="00B84B51" w:rsidRDefault="00B703A9" w:rsidP="00110007">
      <w:pPr>
        <w:pStyle w:val="BodyText"/>
      </w:pPr>
      <w:r>
        <w:rPr>
          <w:lang w:eastAsia="ja"/>
        </w:rPr>
        <w:t>若者には、仕事や有給の雇用、職場で評価されるスキルについて、雇用主から学ぶ機会が提供されるべきです。これは、大学へ直接入学を希望する方に限らず、卒業・退学後に更なる職業訓練を受ける予定の方やすぐに就職予定の方など、すべての若者に当てはまります。</w:t>
      </w:r>
    </w:p>
    <w:p w14:paraId="2CA8C9D0" w14:textId="58F11473" w:rsidR="00437728" w:rsidRPr="00B84B51" w:rsidRDefault="00437728" w:rsidP="00054941">
      <w:pPr>
        <w:pStyle w:val="BodyText"/>
        <w:spacing w:before="240"/>
      </w:pPr>
      <w:r>
        <w:rPr>
          <w:lang w:eastAsia="ja"/>
        </w:rPr>
        <w:t>仕事の世界に関わることは、若者が学校で学んでいることとの関連性への理解を深め、視野を広げ、向上心を高め、仕事や進路・キャリアの可能性の幅を明らかにする上で助けになります。</w:t>
      </w:r>
    </w:p>
    <w:p w14:paraId="064DBB3F" w14:textId="77777777" w:rsidR="00B84B51" w:rsidRDefault="00B84B51" w:rsidP="00054941">
      <w:pPr>
        <w:pStyle w:val="BodyText"/>
        <w:spacing w:before="240"/>
      </w:pPr>
      <w:r>
        <w:rPr>
          <w:lang w:eastAsia="ja"/>
        </w:rPr>
        <w:t>若者には、以下のような機会の提供が求められます。</w:t>
      </w:r>
    </w:p>
    <w:p w14:paraId="6F15166F" w14:textId="77777777" w:rsidR="00B84B51" w:rsidRDefault="00B84B51" w:rsidP="00E85999">
      <w:pPr>
        <w:pStyle w:val="BodyText"/>
        <w:numPr>
          <w:ilvl w:val="0"/>
          <w:numId w:val="23"/>
        </w:numPr>
        <w:ind w:left="320" w:hanging="320"/>
      </w:pPr>
      <w:r>
        <w:rPr>
          <w:lang w:eastAsia="ja"/>
        </w:rPr>
        <w:t>信頼に値する人間だと証明する機会</w:t>
      </w:r>
    </w:p>
    <w:p w14:paraId="170A8328" w14:textId="77777777" w:rsidR="00B84B51" w:rsidRDefault="00B84B51" w:rsidP="00E85999">
      <w:pPr>
        <w:pStyle w:val="BodyText"/>
        <w:numPr>
          <w:ilvl w:val="0"/>
          <w:numId w:val="23"/>
        </w:numPr>
        <w:ind w:left="320" w:hanging="320"/>
      </w:pPr>
      <w:r>
        <w:rPr>
          <w:lang w:eastAsia="ja"/>
        </w:rPr>
        <w:t>仕事の仕方を理解していることを示す機会</w:t>
      </w:r>
    </w:p>
    <w:p w14:paraId="09565F7D" w14:textId="77777777" w:rsidR="00B84B51" w:rsidRDefault="00B84B51" w:rsidP="00E85999">
      <w:pPr>
        <w:pStyle w:val="BodyText"/>
        <w:numPr>
          <w:ilvl w:val="0"/>
          <w:numId w:val="23"/>
        </w:numPr>
        <w:ind w:left="320" w:hanging="320"/>
      </w:pPr>
      <w:r>
        <w:rPr>
          <w:lang w:eastAsia="ja"/>
        </w:rPr>
        <w:t>自信を高める機会</w:t>
      </w:r>
    </w:p>
    <w:p w14:paraId="5199FC9A" w14:textId="77777777" w:rsidR="00B84B51" w:rsidRDefault="00B84B51" w:rsidP="00E85999">
      <w:pPr>
        <w:pStyle w:val="BodyText"/>
        <w:numPr>
          <w:ilvl w:val="0"/>
          <w:numId w:val="23"/>
        </w:numPr>
        <w:ind w:left="320" w:hanging="320"/>
      </w:pPr>
      <w:r>
        <w:rPr>
          <w:lang w:eastAsia="ja"/>
        </w:rPr>
        <w:t>スキルを磨く機会</w:t>
      </w:r>
    </w:p>
    <w:p w14:paraId="0FFA3579" w14:textId="77777777" w:rsidR="00B84B51" w:rsidRDefault="00B84B51" w:rsidP="00054941">
      <w:pPr>
        <w:pStyle w:val="BodyText"/>
        <w:spacing w:before="240"/>
      </w:pPr>
      <w:r>
        <w:rPr>
          <w:lang w:eastAsia="ja"/>
        </w:rPr>
        <w:t>若者が仕事の世界を体験する機会の例は、以下となります。</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eastAsia="ja"/>
        </w:rPr>
        <w:t>アルバイト（パートタイム・カジュアル）</w:t>
      </w:r>
    </w:p>
    <w:p w14:paraId="590D6BCA" w14:textId="77777777" w:rsidR="00B84B51" w:rsidRDefault="00B84B51" w:rsidP="00E85999">
      <w:pPr>
        <w:pStyle w:val="BodyText"/>
        <w:numPr>
          <w:ilvl w:val="0"/>
          <w:numId w:val="23"/>
        </w:numPr>
        <w:ind w:left="320" w:hanging="334"/>
      </w:pPr>
      <w:r>
        <w:rPr>
          <w:lang w:eastAsia="ja"/>
        </w:rPr>
        <w:t>学校プログラムを通した職場学習や職場体験</w:t>
      </w:r>
    </w:p>
    <w:p w14:paraId="72ECF7C6" w14:textId="3CB02702" w:rsidR="00B84B51" w:rsidRDefault="00B84B51" w:rsidP="00E85999">
      <w:pPr>
        <w:pStyle w:val="BodyText"/>
        <w:numPr>
          <w:ilvl w:val="0"/>
          <w:numId w:val="23"/>
        </w:numPr>
        <w:ind w:left="320" w:hanging="334"/>
      </w:pPr>
      <w:r>
        <w:rPr>
          <w:lang w:eastAsia="ja"/>
        </w:rPr>
        <w:t xml:space="preserve"> 職場観察（ワークシャドーイング）や職場見学</w:t>
      </w:r>
    </w:p>
    <w:p w14:paraId="07EA6D81" w14:textId="77777777" w:rsidR="00B84B51" w:rsidRDefault="00B84B51" w:rsidP="00E85999">
      <w:pPr>
        <w:pStyle w:val="BodyText"/>
        <w:numPr>
          <w:ilvl w:val="0"/>
          <w:numId w:val="23"/>
        </w:numPr>
        <w:ind w:left="320" w:hanging="334"/>
      </w:pPr>
      <w:r>
        <w:rPr>
          <w:lang w:eastAsia="ja"/>
        </w:rPr>
        <w:t>ボランティア活動</w:t>
      </w:r>
    </w:p>
    <w:p w14:paraId="54C2C946" w14:textId="77777777" w:rsidR="00B84B51" w:rsidRDefault="00B84B51" w:rsidP="00E85999">
      <w:pPr>
        <w:pStyle w:val="BodyText"/>
        <w:numPr>
          <w:ilvl w:val="0"/>
          <w:numId w:val="23"/>
        </w:numPr>
        <w:ind w:left="320" w:hanging="334"/>
      </w:pPr>
      <w:r>
        <w:rPr>
          <w:lang w:eastAsia="ja"/>
        </w:rPr>
        <w:t>トライアルとインターンシップ</w:t>
      </w:r>
    </w:p>
    <w:p w14:paraId="4FB07080" w14:textId="77777777" w:rsidR="00B84B51" w:rsidRDefault="00B84B51" w:rsidP="00E85999">
      <w:pPr>
        <w:pStyle w:val="BodyText"/>
        <w:numPr>
          <w:ilvl w:val="0"/>
          <w:numId w:val="23"/>
        </w:numPr>
        <w:ind w:left="320" w:hanging="334"/>
      </w:pPr>
      <w:r>
        <w:rPr>
          <w:lang w:eastAsia="ja"/>
        </w:rPr>
        <w:t>スポーツクラブ</w:t>
      </w:r>
    </w:p>
    <w:p w14:paraId="3ED8B1D2" w14:textId="6EDC020D" w:rsidR="00B84B51" w:rsidRDefault="00B84B51" w:rsidP="00E85999">
      <w:pPr>
        <w:pStyle w:val="BodyText"/>
        <w:numPr>
          <w:ilvl w:val="0"/>
          <w:numId w:val="23"/>
        </w:numPr>
        <w:ind w:left="320" w:hanging="334"/>
      </w:pPr>
      <w:r>
        <w:rPr>
          <w:lang w:eastAsia="ja"/>
        </w:rPr>
        <w:t>起業やスタートアップ</w:t>
      </w:r>
    </w:p>
    <w:p w14:paraId="305FF42C" w14:textId="2AA9E3A6" w:rsidR="00437728" w:rsidRDefault="00437728" w:rsidP="00054941">
      <w:pPr>
        <w:pStyle w:val="BodyText"/>
        <w:spacing w:before="240"/>
      </w:pPr>
      <w:r>
        <w:rPr>
          <w:lang w:eastAsia="ja"/>
        </w:rPr>
        <w:t>このような体験は、雇用を確保・維持し、職場で成長するために必要な知識やスキルの構築に役立ちます。</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eastAsia="ja"/>
        </w:rPr>
        <w:t>仕事能力の構築</w:t>
      </w:r>
    </w:p>
    <w:p w14:paraId="1A52E4A2" w14:textId="5282FFA1" w:rsidR="00437728" w:rsidRDefault="00054941" w:rsidP="008F4C90">
      <w:pPr>
        <w:pStyle w:val="BodyText"/>
        <w:spacing w:before="1"/>
      </w:pPr>
      <w:r>
        <w:rPr>
          <w:lang w:eastAsia="ja"/>
        </w:rPr>
        <w:t xml:space="preserve">仕事能力とは、将来の学習や仕事、生活への準備で若者に必要とされるスキルや知識、理解力のことです。これらは応用可能なスキルで、生活や職場で、若者が他者と上手に関わり、首尾よく対処し、前に進むことを可能とするものです。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eastAsia="ja"/>
        </w:rPr>
        <w:t>最も重要な仕事能力の例は、以下となります。</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eastAsia="ja"/>
              </w:rPr>
              <w:t>創造性</w:t>
            </w:r>
          </w:p>
        </w:tc>
        <w:tc>
          <w:tcPr>
            <w:tcW w:w="4684" w:type="dxa"/>
          </w:tcPr>
          <w:p w14:paraId="7D2BCC01" w14:textId="70C83565" w:rsidR="00986634" w:rsidRDefault="00B4001B" w:rsidP="00E85999">
            <w:pPr>
              <w:pStyle w:val="BodyText"/>
              <w:numPr>
                <w:ilvl w:val="0"/>
                <w:numId w:val="23"/>
              </w:numPr>
              <w:ind w:left="320"/>
            </w:pPr>
            <w:r>
              <w:rPr>
                <w:lang w:eastAsia="ja"/>
              </w:rPr>
              <w:t>対人関係、人間関係のスキル</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eastAsia="ja"/>
              </w:rPr>
              <w:t>クリティカルシンキング</w:t>
            </w:r>
          </w:p>
        </w:tc>
        <w:tc>
          <w:tcPr>
            <w:tcW w:w="4684" w:type="dxa"/>
          </w:tcPr>
          <w:p w14:paraId="3E9C3441" w14:textId="35201C77" w:rsidR="00986634" w:rsidRPr="00B4001B" w:rsidRDefault="00B4001B" w:rsidP="00E85999">
            <w:pPr>
              <w:pStyle w:val="BodyText"/>
              <w:numPr>
                <w:ilvl w:val="0"/>
                <w:numId w:val="23"/>
              </w:numPr>
              <w:ind w:left="320"/>
            </w:pPr>
            <w:r>
              <w:rPr>
                <w:lang w:eastAsia="ja"/>
              </w:rPr>
              <w:t>チームワークと協力</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eastAsia="ja"/>
              </w:rPr>
              <w:t>識字・計算能力、デジタルリテラシー</w:t>
            </w:r>
          </w:p>
        </w:tc>
        <w:tc>
          <w:tcPr>
            <w:tcW w:w="4684" w:type="dxa"/>
          </w:tcPr>
          <w:p w14:paraId="6ACCCB32" w14:textId="5D34342F" w:rsidR="00986634" w:rsidRPr="00B4001B" w:rsidRDefault="00B4001B" w:rsidP="00E85999">
            <w:pPr>
              <w:pStyle w:val="BodyText"/>
              <w:numPr>
                <w:ilvl w:val="0"/>
                <w:numId w:val="23"/>
              </w:numPr>
              <w:ind w:left="320"/>
            </w:pPr>
            <w:r>
              <w:rPr>
                <w:lang w:eastAsia="ja"/>
              </w:rPr>
              <w:t>適応力と回復力（リジリエンス）</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eastAsia="ja"/>
              </w:rPr>
              <w:t>問題解決能力</w:t>
            </w:r>
          </w:p>
        </w:tc>
        <w:tc>
          <w:tcPr>
            <w:tcW w:w="4684" w:type="dxa"/>
          </w:tcPr>
          <w:p w14:paraId="4C1B29E0" w14:textId="1F811E80" w:rsidR="00986634" w:rsidRPr="00B4001B" w:rsidRDefault="00B4001B" w:rsidP="00E85999">
            <w:pPr>
              <w:pStyle w:val="BodyText"/>
              <w:numPr>
                <w:ilvl w:val="0"/>
                <w:numId w:val="23"/>
              </w:numPr>
              <w:ind w:left="320"/>
            </w:pPr>
            <w:r>
              <w:rPr>
                <w:lang w:eastAsia="ja"/>
              </w:rPr>
              <w:t>自発性</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eastAsia="ja"/>
              </w:rPr>
              <w:t>文化的共感</w:t>
            </w:r>
          </w:p>
        </w:tc>
        <w:tc>
          <w:tcPr>
            <w:tcW w:w="4684" w:type="dxa"/>
          </w:tcPr>
          <w:p w14:paraId="7B6B92CC" w14:textId="6A70958D" w:rsidR="00986634" w:rsidRPr="00B4001B" w:rsidRDefault="00B4001B" w:rsidP="00E85999">
            <w:pPr>
              <w:pStyle w:val="BodyText"/>
              <w:numPr>
                <w:ilvl w:val="0"/>
                <w:numId w:val="23"/>
              </w:numPr>
              <w:ind w:left="320"/>
            </w:pPr>
            <w:r>
              <w:rPr>
                <w:lang w:eastAsia="ja"/>
              </w:rPr>
              <w:t>計画・企画力と運営力</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eastAsia="ja"/>
              </w:rPr>
              <w:t>倫理的誠実さ</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3206" w14:textId="77777777" w:rsidR="008171BB" w:rsidRDefault="008171BB" w:rsidP="00127DAD">
      <w:r>
        <w:separator/>
      </w:r>
    </w:p>
  </w:endnote>
  <w:endnote w:type="continuationSeparator" w:id="0">
    <w:p w14:paraId="2B497B95" w14:textId="77777777" w:rsidR="008171BB" w:rsidRDefault="008171BB" w:rsidP="00127DAD">
      <w:r>
        <w:continuationSeparator/>
      </w:r>
    </w:p>
  </w:endnote>
  <w:endnote w:type="continuationNotice" w:id="1">
    <w:p w14:paraId="2D1196D7" w14:textId="77777777" w:rsidR="008171BB" w:rsidRDefault="00817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eastAsia="ja"/>
      </w:rPr>
      <w:tab/>
    </w:r>
    <w:r>
      <w:rPr>
        <w:lang w:eastAsia="j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eastAsia="ja"/>
          </w:rPr>
          <w:t>D26/249546</w:t>
        </w:r>
      </w:sdtContent>
    </w:sdt>
  </w:p>
  <w:p w14:paraId="3CC1B870" w14:textId="77777777" w:rsidR="000F6D5A" w:rsidRPr="008626AA" w:rsidRDefault="008626AA" w:rsidP="008626AA">
    <w:pPr>
      <w:pStyle w:val="Footer"/>
    </w:pPr>
    <w:r>
      <w:rPr>
        <w:lang w:eastAsia="ja"/>
      </w:rPr>
      <w:tab/>
    </w:r>
    <w:r>
      <w:rPr>
        <w:lang w:eastAsia="ja"/>
      </w:rPr>
      <w:fldChar w:fldCharType="begin"/>
    </w:r>
    <w:r>
      <w:rPr>
        <w:lang w:eastAsia="ja"/>
      </w:rPr>
      <w:instrText xml:space="preserve"> PAGE   \* MERGEFORMAT </w:instrText>
    </w:r>
    <w:r>
      <w:rPr>
        <w:lang w:eastAsia="ja"/>
      </w:rPr>
      <w:fldChar w:fldCharType="separate"/>
    </w:r>
    <w:r>
      <w:rPr>
        <w:noProof/>
        <w:lang w:eastAsia="ja"/>
      </w:rPr>
      <w:t>2</w:t>
    </w:r>
    <w:r>
      <w:rPr>
        <w:lang w:eastAsia="ja"/>
      </w:rPr>
      <w:fldChar w:fldCharType="end"/>
    </w:r>
    <w:r>
      <w:rPr>
        <w:lang w:eastAsia="j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eastAsia="j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ja"/>
          </w:rPr>
          <w:t>D26/249546</w:t>
        </w:r>
      </w:sdtContent>
    </w:sdt>
  </w:p>
  <w:p w14:paraId="0E2C46A7" w14:textId="2B070D05" w:rsidR="00AF71AF" w:rsidRPr="001E1668" w:rsidRDefault="00440775" w:rsidP="001E1668">
    <w:pPr>
      <w:pStyle w:val="Footer"/>
    </w:pPr>
    <w:r>
      <w:rPr>
        <w:lang w:eastAsia="ja"/>
      </w:rPr>
      <w:tab/>
    </w:r>
    <w:r>
      <w:rPr>
        <w:lang w:eastAsia="ja"/>
      </w:rPr>
      <w:tab/>
    </w:r>
    <w:r>
      <w:rPr>
        <w:sz w:val="18"/>
        <w:szCs w:val="14"/>
        <w:lang w:eastAsia="j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1571" w14:textId="77777777" w:rsidR="008171BB" w:rsidRDefault="008171BB" w:rsidP="00127DAD">
      <w:r>
        <w:separator/>
      </w:r>
    </w:p>
  </w:footnote>
  <w:footnote w:type="continuationSeparator" w:id="0">
    <w:p w14:paraId="214C7691" w14:textId="77777777" w:rsidR="008171BB" w:rsidRDefault="008171BB" w:rsidP="00127DAD">
      <w:r>
        <w:continuationSeparator/>
      </w:r>
    </w:p>
  </w:footnote>
  <w:footnote w:type="continuationNotice" w:id="1">
    <w:p w14:paraId="36EC705F" w14:textId="77777777" w:rsidR="008171BB" w:rsidRDefault="00817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1F7E70E" w:rsidR="00916AF7" w:rsidRDefault="00D41877"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527A54A5" wp14:editId="5A796A7B">
              <wp:simplePos x="0" y="0"/>
              <wp:positionH relativeFrom="column">
                <wp:posOffset>5983793</wp:posOffset>
              </wp:positionH>
              <wp:positionV relativeFrom="paragraph">
                <wp:posOffset>-414257</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A0E19A8" w14:textId="77777777" w:rsidR="00D41877" w:rsidRDefault="00D41877" w:rsidP="00D41877">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A54A5" id="_x0000_t202" coordsize="21600,21600" o:spt="202" path="m,l,21600r21600,l21600,xe">
              <v:stroke joinstyle="miter"/>
              <v:path gradientshapeok="t" o:connecttype="rect"/>
            </v:shapetype>
            <v:shape id="Text Box 1" o:spid="_x0000_s1026" type="#_x0000_t202" style="position:absolute;margin-left:471.15pt;margin-top:-32.6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" filled="f" stroked="f">
              <v:textbox>
                <w:txbxContent>
                  <w:p w14:paraId="3A0E19A8" w14:textId="77777777" w:rsidR="00D41877" w:rsidRDefault="00D41877" w:rsidP="00D41877">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DD5BF0">
      <w:rPr>
        <w:noProof/>
        <w:lang w:eastAsia="j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1EC2"/>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171BB"/>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41877"/>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31EC2"/>
    <w:rsid w:val="00342A47"/>
    <w:rsid w:val="003F43C2"/>
    <w:rsid w:val="00462B0A"/>
    <w:rsid w:val="004C30FA"/>
    <w:rsid w:val="004C60B5"/>
    <w:rsid w:val="004C7E76"/>
    <w:rsid w:val="004E393C"/>
    <w:rsid w:val="005966D5"/>
    <w:rsid w:val="00624B3C"/>
    <w:rsid w:val="00716BF8"/>
    <w:rsid w:val="00797033"/>
    <w:rsid w:val="008F37C1"/>
    <w:rsid w:val="00923DF5"/>
    <w:rsid w:val="00991E2F"/>
    <w:rsid w:val="00A545FA"/>
    <w:rsid w:val="00AC3DDF"/>
    <w:rsid w:val="00B654AF"/>
    <w:rsid w:val="00BB0721"/>
    <w:rsid w:val="00CC5089"/>
    <w:rsid w:val="00D67D22"/>
    <w:rsid w:val="00E52115"/>
    <w:rsid w:val="00E60098"/>
    <w:rsid w:val="00EE7CC0"/>
    <w:rsid w:val="00F152F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784A-3AB6-4652-B94F-E63082A7254D}"/>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18</cp:revision>
  <dcterms:created xsi:type="dcterms:W3CDTF">2025-11-03T07:08:00Z</dcterms:created>
  <dcterms:modified xsi:type="dcterms:W3CDTF">2026-04-13T10:50:00Z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