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B444DF" w:rsidRDefault="00D545EC" w:rsidP="003D1C51">
      <w:pPr>
        <w:pStyle w:val="Title"/>
        <w:rPr>
          <w:bCs/>
          <w:color w:val="7030A0"/>
        </w:rPr>
      </w:pPr>
      <w:bookmarkStart w:id="0" w:name="_Hlk103166844"/>
      <w:bookmarkStart w:id="1" w:name="_Toc84334888"/>
      <w:r>
        <w:rPr>
          <w:bCs/>
          <w:color w:val="7030A0"/>
        </w:rPr>
        <w:t>Información sobre trayectorias profesionales para jóvenes con discapacidades</w:t>
      </w:r>
    </w:p>
    <w:p w14:paraId="62D7A0A1" w14:textId="5FD4F97A" w:rsidR="00D85416" w:rsidRPr="00D85416" w:rsidRDefault="00D85416" w:rsidP="003D1C51">
      <w:pPr>
        <w:pStyle w:val="Title"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</w:rPr>
        <w:t>Información para padres y cuidadores</w:t>
      </w:r>
    </w:p>
    <w:p w14:paraId="14DB6264" w14:textId="57F592C8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t>Se anima a todos los jóvenes a trabajar en sus aspiraciones, participar en un aprendizaje que sea desafiante y desarrollar planes de trayectoria para lograr una transición exitosa a educación superior, formación adicional o empleo significativo.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</w:rPr>
        <w:t>Uno de cada seis australianos vive con una discapacidad. Como todos los empleados, las personas con discapacidad aportan una serie de habilidades, capacidades y cualificaciones al lugar de trabajo y desempeñan una amplia variedad de empleos.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</w:rPr>
        <w:t>Tener un trabajo expande las conexiones sociales, mejora los estándares de vida, la independencia económica y la autoestima.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941E5C8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</w:rPr>
        <w:t>Las universidades, TAFE y otros proveedores de capacitación ofrecen una gama de cualificaciones junto con apoyos personalizados para necesidades individuales para garantizar el acceso y la inclusión.</w:t>
      </w:r>
      <w:bookmarkEnd w:id="2"/>
    </w:p>
    <w:p w14:paraId="14CBC84B" w14:textId="77777777" w:rsidR="0007428E" w:rsidRDefault="0007428E" w:rsidP="00EC60BC">
      <w:pPr>
        <w:ind w:right="218"/>
        <w:rPr>
          <w:rFonts w:eastAsia="Arial"/>
          <w:szCs w:val="22"/>
        </w:rPr>
      </w:pPr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5"/>
        <w:gridCol w:w="6365"/>
      </w:tblGrid>
      <w:tr w:rsidR="00EC60BC" w:rsidRPr="00871B18" w14:paraId="45D3532A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Recursos</w:t>
            </w:r>
          </w:p>
        </w:tc>
      </w:tr>
      <w:tr w:rsidR="003B342E" w:rsidRPr="00871B18" w14:paraId="6EFA2EEC" w14:textId="77777777" w:rsidTr="00082723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80EB007" w14:textId="54713C6E" w:rsidR="003B342E" w:rsidRPr="00491D75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Myfuture</w:t>
            </w:r>
          </w:p>
        </w:tc>
        <w:tc>
          <w:tcPr>
            <w:tcW w:w="6371" w:type="dxa"/>
            <w:vAlign w:val="center"/>
          </w:tcPr>
          <w:p w14:paraId="11349F67" w14:textId="5FD60589" w:rsidR="003B342E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</w:rPr>
              <w:t>myfuture proporciona recursos para explorar la gama completa de trayectorias y oportunidades profesionales. Incluye herramientas para desarrollar el autoconocimiento, lo que ayuda en la planificación profesional y la toma de decisiones.</w:t>
            </w:r>
          </w:p>
          <w:p w14:paraId="1C83A6BF" w14:textId="77777777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</w:p>
          <w:p w14:paraId="7D8B3AFB" w14:textId="2D35AC1D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</w:rPr>
              <w:t>Información para padres y cuidadores</w:t>
            </w:r>
          </w:p>
          <w:p w14:paraId="6683F27A" w14:textId="75B4DA3A" w:rsidR="0007428E" w:rsidRPr="00F161EB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eastAsiaTheme="majorEastAsia"/>
                  <w:szCs w:val="22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Your Career</w:t>
            </w:r>
          </w:p>
        </w:tc>
        <w:tc>
          <w:tcPr>
            <w:tcW w:w="6371" w:type="dxa"/>
            <w:vAlign w:val="center"/>
          </w:tcPr>
          <w:p w14:paraId="7FD0240F" w14:textId="12DC0BD3" w:rsidR="00E80ACA" w:rsidRDefault="00E94081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t>El sitio principal de información sobre carreras, que incluye información sobre sectores, ocupaciones y profesiones, con una sección que contiene recursos sobre carreras inclusivas.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</w:rPr>
                <w:t>https://www.yourcareer.gov.au/resources/diverse-roles</w:t>
              </w:r>
            </w:hyperlink>
            <w:r>
              <w:t xml:space="preserve"> </w:t>
            </w:r>
          </w:p>
        </w:tc>
      </w:tr>
      <w:tr w:rsidR="0039707A" w:rsidRPr="00871B18" w14:paraId="77F121B1" w14:textId="77777777" w:rsidTr="00082723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5F9AA67" w14:textId="3528351D" w:rsidR="0039707A" w:rsidRDefault="0039707A" w:rsidP="003D1C51">
            <w:pPr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</w:rPr>
              <w:t>myWAY Employability</w:t>
            </w:r>
          </w:p>
        </w:tc>
        <w:tc>
          <w:tcPr>
            <w:tcW w:w="6371" w:type="dxa"/>
            <w:vAlign w:val="center"/>
          </w:tcPr>
          <w:p w14:paraId="11CD5A49" w14:textId="685E9BF6" w:rsidR="0039707A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myWAY Employability ayuda a jóvenes autistas a tomar el control de su futuro y prepararse para la vida laboral.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</w:rPr>
                <w:t>https://mywayemployability.au/</w:t>
              </w:r>
            </w:hyperlink>
            <w:r>
              <w:t xml:space="preserve"> </w:t>
            </w:r>
          </w:p>
        </w:tc>
      </w:tr>
      <w:tr w:rsidR="005F1468" w:rsidRPr="00871B18" w14:paraId="0D3D8FFA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A2CF0E3" w14:textId="2E24C88E" w:rsidR="005F1468" w:rsidRPr="00491D75" w:rsidRDefault="005908D0" w:rsidP="003D1C51">
            <w:pPr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</w:rPr>
              <w:lastRenderedPageBreak/>
              <w:t>Disability Gateway</w:t>
            </w:r>
          </w:p>
        </w:tc>
        <w:tc>
          <w:tcPr>
            <w:tcW w:w="6371" w:type="dxa"/>
            <w:vAlign w:val="center"/>
          </w:tcPr>
          <w:p w14:paraId="0FFB245A" w14:textId="3D431A0F" w:rsidR="005F1468" w:rsidRPr="00B823E2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</w:rPr>
              <w:t xml:space="preserve">Disability Gateway es un servicio del Gobierno federal dedicado a ayudar a personas que viven con una discapacidad, sus familias y cuidadores a encontrar información confiable y conectarse con servicios en su área local.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szCs w:val="22"/>
                </w:rPr>
                <w:t>https://www.disabilitygateway.gov.au/</w:t>
              </w:r>
            </w:hyperlink>
          </w:p>
        </w:tc>
      </w:tr>
    </w:tbl>
    <w:p w14:paraId="39AED555" w14:textId="77777777" w:rsidR="000337D4" w:rsidRDefault="000337D4">
      <w:pPr>
        <w:sectPr w:rsidR="000337D4" w:rsidSect="00E6694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560" w:right="1418" w:bottom="709" w:left="1418" w:header="709" w:footer="283" w:gutter="0"/>
          <w:cols w:space="708"/>
          <w:docGrid w:linePitch="360"/>
        </w:sect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5"/>
        <w:gridCol w:w="6365"/>
      </w:tblGrid>
      <w:tr w:rsidR="00B823E2" w:rsidRPr="00871B18" w14:paraId="00A12A7B" w14:textId="77777777" w:rsidTr="00082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5C5C6" w14:textId="6FA70ED8" w:rsidR="00B823E2" w:rsidRPr="00871B18" w:rsidRDefault="00B823E2" w:rsidP="00323F4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Recursos</w:t>
            </w:r>
          </w:p>
        </w:tc>
      </w:tr>
      <w:tr w:rsidR="00B823E2" w:rsidRPr="00491D75" w14:paraId="7ED4BAD5" w14:textId="77777777" w:rsidTr="00082723">
        <w:trPr>
          <w:trHeight w:val="3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55FF1EF" w14:textId="77777777" w:rsidR="00B823E2" w:rsidRDefault="00B823E2" w:rsidP="000C77C4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Servicios de Empleo para Personas con Discapacidad (DES, por sus siglas en inglés)</w:t>
            </w:r>
          </w:p>
          <w:p w14:paraId="5CD14227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6DF77D5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62E3B452" w14:textId="3E54E5A1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Job Access</w:t>
            </w:r>
          </w:p>
          <w:p w14:paraId="5489AC0B" w14:textId="77777777" w:rsidR="00B823E2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23D2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53802108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F4DDE2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265B7B6" w14:textId="77777777" w:rsidR="003D1C51" w:rsidRDefault="003D1C51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4099FE4F" w14:textId="276FADA7" w:rsidR="00B823E2" w:rsidRPr="00491D75" w:rsidRDefault="00B823E2" w:rsidP="000C77C4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Proveedores de DES</w:t>
            </w:r>
          </w:p>
        </w:tc>
        <w:tc>
          <w:tcPr>
            <w:tcW w:w="6371" w:type="dxa"/>
            <w:vAlign w:val="center"/>
          </w:tcPr>
          <w:p w14:paraId="0765EC4B" w14:textId="65E8F9B9" w:rsidR="00B823E2" w:rsidRP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 es el servicio del Gobierno federal para el empleo y proporciona asistencia y apoyo para ayudar a las personas con discapacidad a conseguir y conservar empleo.</w:t>
            </w:r>
          </w:p>
          <w:p w14:paraId="6C26AD9E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4843F24" w14:textId="7C58B0E3" w:rsidR="003D1C51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Access es el centro nacional de información sobre el sitio de trabajo y el empleo para personas con discapacidad, reuniendo información y recursos que pueden 'impulsar el empleo para las personas con discapacidad'.</w:t>
            </w:r>
          </w:p>
          <w:p w14:paraId="740AB5F6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cs="Arial"/>
                  <w:sz w:val="22"/>
                  <w:szCs w:val="22"/>
                </w:rPr>
                <w:t>https://www.jobaccess.gov.au/</w:t>
              </w:r>
            </w:hyperlink>
          </w:p>
          <w:p w14:paraId="59F3A563" w14:textId="77777777" w:rsidR="00B823E2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E293B4D" w14:textId="2251B188" w:rsidR="00800518" w:rsidRPr="00DA4DB4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1659">
              <w:rPr>
                <w:rFonts w:ascii="Arial" w:hAnsi="Arial" w:cs="Arial"/>
                <w:sz w:val="22"/>
                <w:szCs w:val="22"/>
              </w:rPr>
              <w:t>Encuentre un proveedor:</w:t>
            </w:r>
            <w:r>
              <w:t xml:space="preserve"> </w:t>
            </w:r>
            <w:hyperlink r:id="rId21" w:history="1">
              <w:r>
                <w:rPr>
                  <w:rStyle w:val="Hyperlink"/>
                  <w:rFonts w:cs="Arial"/>
                  <w:sz w:val="22"/>
                  <w:szCs w:val="22"/>
                </w:rPr>
                <w:t>https://www.jobaccess.gov.au/find-a-provider</w:t>
              </w:r>
            </w:hyperlink>
          </w:p>
        </w:tc>
      </w:tr>
      <w:tr w:rsidR="00B823E2" w:rsidRPr="00491D75" w14:paraId="3358DDFD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4210709E" w14:textId="51A18EDD" w:rsidR="000E223E" w:rsidRPr="007705F2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Programa Nacional de Seguros de Discapacidad (NDIS, por su siglas en inglés)</w:t>
            </w:r>
          </w:p>
        </w:tc>
        <w:tc>
          <w:tcPr>
            <w:tcW w:w="6371" w:type="dxa"/>
            <w:vAlign w:val="center"/>
          </w:tcPr>
          <w:p w14:paraId="0BBD4554" w14:textId="77777777" w:rsidR="00B823E2" w:rsidRPr="00EC60BC" w:rsidRDefault="00B823E2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 NDIS adopta un enfoque para toda la vida, invirtiendo de manera temprana en personas con discapacidad y niños con retraso en el desarrollo para mejorar sus resultados futuros.</w:t>
            </w:r>
          </w:p>
          <w:p w14:paraId="2265B837" w14:textId="6160BAAF" w:rsidR="00800518" w:rsidRPr="00800518" w:rsidRDefault="00373694" w:rsidP="007705F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  <w:b w:val="0"/>
                  <w:sz w:val="22"/>
                  <w:szCs w:val="22"/>
                </w:rPr>
                <w:t>https://www.ndis.gov.au/</w:t>
              </w:r>
            </w:hyperlink>
          </w:p>
        </w:tc>
      </w:tr>
      <w:tr w:rsidR="00B823E2" w:rsidRPr="00491D75" w14:paraId="2135A518" w14:textId="77777777" w:rsidTr="00082723">
        <w:trPr>
          <w:trHeight w:val="2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348FBBD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NDIS</w:t>
            </w:r>
          </w:p>
          <w:p w14:paraId="51EE70C7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 xml:space="preserve">Apoyos con el Empleo para Estudiantes Graduados </w:t>
            </w:r>
          </w:p>
          <w:p w14:paraId="43696A85" w14:textId="77777777" w:rsidR="00B823E2" w:rsidRPr="00491D75" w:rsidRDefault="00B823E2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(SLES, por sus siglas en inglés)</w:t>
            </w:r>
          </w:p>
        </w:tc>
        <w:tc>
          <w:tcPr>
            <w:tcW w:w="6371" w:type="dxa"/>
            <w:vAlign w:val="center"/>
          </w:tcPr>
          <w:p w14:paraId="3E283D31" w14:textId="56A01534" w:rsidR="00B823E2" w:rsidRPr="00491D75" w:rsidRDefault="00875F28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Incluir los SLES en un plan del NDIS ayuda a los participantes a hacer la transición de la escuela al trabajo, y están disponibles en los últimos años de la escuela y justo después de finalizarla.</w:t>
            </w:r>
          </w:p>
          <w:p w14:paraId="28C06894" w14:textId="77777777" w:rsidR="00B823E2" w:rsidRPr="00491D7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878BF31" w14:textId="3CE9E0FF" w:rsidR="00B823E2" w:rsidRPr="00491D75" w:rsidRDefault="00B823E2" w:rsidP="00F161EB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proveedores que ofrecen apoyos para el empleo para estudiantes graduados ayudan a los jóvenes a prepararse para encontrar y conservar el empleo. Ofrecen actividades significativas y personalizadas de desarrollo de capacidades para que las personas jóvenes alcancen sus objetivos laborales.</w:t>
            </w:r>
          </w:p>
          <w:p w14:paraId="335D6698" w14:textId="02327F4E" w:rsidR="00B823E2" w:rsidRPr="007705F2" w:rsidRDefault="00D00DEF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Cs w:val="22"/>
                <w:u w:val="single"/>
              </w:rPr>
            </w:pPr>
            <w:hyperlink r:id="rId23" w:history="1">
              <w:r>
                <w:rPr>
                  <w:rStyle w:val="Hyperlink"/>
                </w:rPr>
                <w:t>https://www.ndis.gov.au/providers/working-provider/delivering-capacity-building-employment-assistance</w:t>
              </w:r>
            </w:hyperlink>
            <w:r>
              <w:t xml:space="preserve"> </w:t>
            </w:r>
          </w:p>
        </w:tc>
      </w:tr>
      <w:tr w:rsidR="003D1C51" w:rsidRPr="00491D75" w14:paraId="22D5BC44" w14:textId="77777777" w:rsidTr="000827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ACABB25" w14:textId="77777777" w:rsidR="003D1C51" w:rsidRPr="00491D75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lastRenderedPageBreak/>
              <w:t>NDIS</w:t>
            </w:r>
          </w:p>
          <w:p w14:paraId="3E7A4179" w14:textId="77777777" w:rsidR="003D1C51" w:rsidRPr="00871B18" w:rsidRDefault="003D1C5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Encontrar, conservar y cambiar de trabajo</w:t>
            </w:r>
          </w:p>
        </w:tc>
        <w:tc>
          <w:tcPr>
            <w:tcW w:w="6371" w:type="dxa"/>
            <w:vAlign w:val="center"/>
          </w:tcPr>
          <w:p w14:paraId="732EA049" w14:textId="77777777" w:rsidR="003D1C51" w:rsidRPr="00701C81" w:rsidRDefault="003D1C51" w:rsidP="00F161EB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Incluye información sobre:</w:t>
            </w:r>
          </w:p>
          <w:p w14:paraId="5EC80ED9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pensar y hablar sobre el trabajo;</w:t>
            </w:r>
          </w:p>
          <w:p w14:paraId="3BEE7E43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terminar la escuela;</w:t>
            </w:r>
          </w:p>
          <w:p w14:paraId="476EAB9A" w14:textId="77777777" w:rsidR="003D1C5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prepararse para el trabajo;</w:t>
            </w:r>
          </w:p>
          <w:p w14:paraId="7BBA15EC" w14:textId="77777777" w:rsidR="003D1C51" w:rsidRPr="00701C81" w:rsidRDefault="003D1C51" w:rsidP="00F161EB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voluntariados.  </w:t>
            </w:r>
          </w:p>
          <w:p w14:paraId="5ADE725A" w14:textId="50334FBE" w:rsidR="003D1C51" w:rsidRPr="00871B18" w:rsidRDefault="003D1C51" w:rsidP="00F161EB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/>
                <w:szCs w:val="22"/>
              </w:rPr>
            </w:pPr>
            <w:hyperlink r:id="rId24" w:history="1">
              <w:r>
                <w:rPr>
                  <w:rStyle w:val="Hyperlink"/>
                  <w:rFonts w:eastAsia="Arial"/>
                  <w:szCs w:val="22"/>
                </w:rPr>
                <w:t>https://www.ndis.gov.au/participants/finding-keeping-and-changing-jobs</w:t>
              </w:r>
            </w:hyperlink>
            <w:r>
              <w:rPr>
                <w:rFonts w:eastAsia="Arial"/>
                <w:szCs w:val="22"/>
              </w:rPr>
              <w:t xml:space="preserve"> </w:t>
            </w:r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F71659">
      <w:headerReference w:type="default" r:id="rId25"/>
      <w:footerReference w:type="default" r:id="rId26"/>
      <w:type w:val="continuous"/>
      <w:pgSz w:w="11906" w:h="16838" w:code="9"/>
      <w:pgMar w:top="1559" w:right="1418" w:bottom="709" w:left="1418" w:header="709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4C74" w14:textId="77777777" w:rsidR="004C5890" w:rsidRDefault="004C5890" w:rsidP="00127DAD">
      <w:r>
        <w:separator/>
      </w:r>
    </w:p>
    <w:p w14:paraId="1008B032" w14:textId="77777777" w:rsidR="004C5890" w:rsidRDefault="004C5890"/>
  </w:endnote>
  <w:endnote w:type="continuationSeparator" w:id="0">
    <w:p w14:paraId="4371CC02" w14:textId="77777777" w:rsidR="004C5890" w:rsidRDefault="004C5890" w:rsidP="00127DAD">
      <w:r>
        <w:continuationSeparator/>
      </w:r>
    </w:p>
    <w:p w14:paraId="7FAC2FD4" w14:textId="77777777" w:rsidR="004C5890" w:rsidRDefault="004C5890"/>
  </w:endnote>
  <w:endnote w:type="continuationNotice" w:id="1">
    <w:p w14:paraId="0FA5750F" w14:textId="77777777" w:rsidR="004C5890" w:rsidRDefault="004C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6CE5" w14:textId="7C7E5F81" w:rsidR="00E66942" w:rsidRPr="00323F4C" w:rsidRDefault="00E66942" w:rsidP="00E66942">
    <w:pPr>
      <w:pStyle w:val="Footer"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D24/0265668</w:t>
    </w:r>
    <w:r>
      <w:rPr>
        <w:sz w:val="18"/>
        <w:szCs w:val="14"/>
      </w:rPr>
      <w:tab/>
    </w:r>
  </w:p>
  <w:p w14:paraId="46C155DF" w14:textId="77777777" w:rsidR="00E66942" w:rsidRPr="00323F4C" w:rsidRDefault="00E66942" w:rsidP="00E66942">
    <w:pPr>
      <w:pStyle w:val="Footer"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id w:val="43804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A914A" w14:textId="52A42E87" w:rsidR="00E66942" w:rsidRDefault="00F71659">
        <w:pPr>
          <w:pStyle w:val="Footer"/>
          <w:jc w:val="center"/>
        </w:pPr>
      </w:p>
    </w:sdtContent>
  </w:sdt>
  <w:p w14:paraId="61E13DBD" w14:textId="77777777" w:rsidR="00345D02" w:rsidRDefault="00345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C1D" w14:textId="19CA0025" w:rsidR="00FE6462" w:rsidRPr="00323F4C" w:rsidRDefault="00FE6462" w:rsidP="0007397E">
    <w:pPr>
      <w:pStyle w:val="Footer"/>
      <w:tabs>
        <w:tab w:val="left" w:pos="5670"/>
      </w:tabs>
      <w:rPr>
        <w:sz w:val="18"/>
        <w:szCs w:val="14"/>
      </w:rPr>
    </w:pPr>
    <w:r>
      <w:tab/>
    </w:r>
    <w:r>
      <w:tab/>
    </w:r>
    <w:r>
      <w:tab/>
    </w:r>
    <w:r>
      <w:rPr>
        <w:sz w:val="18"/>
        <w:szCs w:val="14"/>
      </w:rPr>
      <w:t>D24/0253030</w:t>
    </w:r>
  </w:p>
  <w:p w14:paraId="6E90FD4A" w14:textId="23D4BA48" w:rsidR="00FE6462" w:rsidRPr="00323F4C" w:rsidRDefault="00FE6462" w:rsidP="00FE6462">
    <w:pPr>
      <w:pStyle w:val="Footer"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id w:val="124245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3C10C" w14:textId="1F5A91E4" w:rsidR="00FE6462" w:rsidRPr="00FE6462" w:rsidRDefault="00FE6462" w:rsidP="00FE64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26FF" w14:textId="46D01CB9" w:rsidR="000337D4" w:rsidRPr="00323F4C" w:rsidRDefault="000337D4" w:rsidP="00E66942">
    <w:pPr>
      <w:pStyle w:val="Footer"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D24/0265668</w:t>
    </w:r>
  </w:p>
  <w:p w14:paraId="2751E260" w14:textId="77777777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7139" w14:textId="77777777" w:rsidR="004C5890" w:rsidRDefault="004C5890" w:rsidP="00127DAD">
      <w:r>
        <w:separator/>
      </w:r>
    </w:p>
    <w:p w14:paraId="3A358926" w14:textId="77777777" w:rsidR="004C5890" w:rsidRDefault="004C5890"/>
  </w:footnote>
  <w:footnote w:type="continuationSeparator" w:id="0">
    <w:p w14:paraId="22B75B5B" w14:textId="77777777" w:rsidR="004C5890" w:rsidRDefault="004C5890" w:rsidP="00127DAD">
      <w:r>
        <w:continuationSeparator/>
      </w:r>
    </w:p>
    <w:p w14:paraId="6F388334" w14:textId="77777777" w:rsidR="004C5890" w:rsidRDefault="004C5890"/>
  </w:footnote>
  <w:footnote w:type="continuationNotice" w:id="1">
    <w:p w14:paraId="4F35374B" w14:textId="77777777" w:rsidR="004C5890" w:rsidRDefault="004C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9DA" w14:textId="4C59A1EF" w:rsidR="00345D02" w:rsidRDefault="00F7165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5A63E5E" wp14:editId="19B48FFC">
              <wp:simplePos x="0" y="0"/>
              <wp:positionH relativeFrom="column">
                <wp:posOffset>5786120</wp:posOffset>
              </wp:positionH>
              <wp:positionV relativeFrom="paragraph">
                <wp:posOffset>-142240</wp:posOffset>
              </wp:positionV>
              <wp:extent cx="6572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C7ECAF" w14:textId="111554E2" w:rsidR="00F71659" w:rsidRPr="00F71659" w:rsidRDefault="00F71659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F71659">
                            <w:rPr>
                              <w:sz w:val="18"/>
                              <w:szCs w:val="16"/>
                            </w:rPr>
                            <w:t>Spanish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A6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5.6pt;margin-top:-11.2pt;width:51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" filled="f" stroked="f">
              <v:textbox style="mso-fit-shape-to-text:t">
                <w:txbxContent>
                  <w:p w14:paraId="7FC7ECAF" w14:textId="111554E2" w:rsidR="00F71659" w:rsidRPr="00F71659" w:rsidRDefault="00F71659">
                    <w:pPr>
                      <w:rPr>
                        <w:sz w:val="18"/>
                        <w:szCs w:val="16"/>
                      </w:rPr>
                    </w:pPr>
                    <w:r w:rsidRPr="00F71659">
                      <w:rPr>
                        <w:sz w:val="18"/>
                        <w:szCs w:val="16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4AD4">
      <w:rPr>
        <w:noProof/>
      </w:rPr>
      <w:drawing>
        <wp:anchor distT="0" distB="0" distL="114300" distR="114300" simplePos="0" relativeHeight="251661824" behindDoc="1" locked="0" layoutInCell="1" allowOverlap="1" wp14:anchorId="19CEEB46" wp14:editId="70E4DB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764724698" name="Picture 176472469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82144" name="Picture 2007482144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D4">
      <w:rPr>
        <w:noProof/>
      </w:rPr>
      <w:drawing>
        <wp:anchor distT="0" distB="0" distL="114300" distR="114300" simplePos="0" relativeHeight="251650048" behindDoc="1" locked="0" layoutInCell="1" allowOverlap="1" wp14:anchorId="25001EF9" wp14:editId="1F040107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342351692" name="Picture 134235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47CC" w14:textId="0CBF5C56" w:rsidR="00FE6462" w:rsidRDefault="00E83E29" w:rsidP="00127DAD">
    <w:pPr>
      <w:pStyle w:val="Head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446044B" wp14:editId="47616C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468010458" name="Picture 468010458" descr="A logo of a government edu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government edu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A1FFB74" wp14:editId="7F1FAD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541265426" name="Picture 1541265426" descr="A black and purpl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and purpl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77777777" w:rsidR="000337D4" w:rsidRDefault="000337D4">
    <w:pPr>
      <w:pStyle w:val="Header"/>
    </w:pPr>
    <w:r>
      <w:rPr>
        <w:noProof/>
      </w:rPr>
      <w:drawing>
        <wp:anchor distT="0" distB="0" distL="114300" distR="114300" simplePos="0" relativeHeight="251664387" behindDoc="1" locked="0" layoutInCell="1" allowOverlap="1" wp14:anchorId="5CC4CAAF" wp14:editId="04A0862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19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5"/>
  </w:num>
  <w:num w:numId="5" w16cid:durableId="66223079">
    <w:abstractNumId w:val="14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19"/>
  </w:num>
  <w:num w:numId="16" w16cid:durableId="1735469380">
    <w:abstractNumId w:val="9"/>
  </w:num>
  <w:num w:numId="17" w16cid:durableId="20750784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6"/>
  </w:num>
  <w:num w:numId="20" w16cid:durableId="1413357406">
    <w:abstractNumId w:val="18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B0131"/>
    <w:rsid w:val="000B6A3E"/>
    <w:rsid w:val="000C58B8"/>
    <w:rsid w:val="000C77C4"/>
    <w:rsid w:val="000E223E"/>
    <w:rsid w:val="000E61C9"/>
    <w:rsid w:val="000F3848"/>
    <w:rsid w:val="000F6D5A"/>
    <w:rsid w:val="001112CC"/>
    <w:rsid w:val="00117BC1"/>
    <w:rsid w:val="00127DAD"/>
    <w:rsid w:val="00130CE9"/>
    <w:rsid w:val="00130E88"/>
    <w:rsid w:val="0013587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F01CD"/>
    <w:rsid w:val="002F247F"/>
    <w:rsid w:val="002F49DF"/>
    <w:rsid w:val="00303358"/>
    <w:rsid w:val="003152E0"/>
    <w:rsid w:val="00316604"/>
    <w:rsid w:val="0031727B"/>
    <w:rsid w:val="00323F4C"/>
    <w:rsid w:val="003403BB"/>
    <w:rsid w:val="00345D02"/>
    <w:rsid w:val="00365B17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C3383"/>
    <w:rsid w:val="003C7215"/>
    <w:rsid w:val="003D1C51"/>
    <w:rsid w:val="004103B9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91D75"/>
    <w:rsid w:val="0049502A"/>
    <w:rsid w:val="004A2133"/>
    <w:rsid w:val="004B06B1"/>
    <w:rsid w:val="004C5890"/>
    <w:rsid w:val="004C6818"/>
    <w:rsid w:val="004D0B2E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A1925"/>
    <w:rsid w:val="005B118D"/>
    <w:rsid w:val="005B2D97"/>
    <w:rsid w:val="005B6A86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A1BE6"/>
    <w:rsid w:val="006A3C91"/>
    <w:rsid w:val="006B214C"/>
    <w:rsid w:val="006D0BC0"/>
    <w:rsid w:val="006E4147"/>
    <w:rsid w:val="006F639D"/>
    <w:rsid w:val="006F69BB"/>
    <w:rsid w:val="00701C81"/>
    <w:rsid w:val="007343DF"/>
    <w:rsid w:val="007358C4"/>
    <w:rsid w:val="00742900"/>
    <w:rsid w:val="00753103"/>
    <w:rsid w:val="00763805"/>
    <w:rsid w:val="007657C5"/>
    <w:rsid w:val="007705F2"/>
    <w:rsid w:val="0077288D"/>
    <w:rsid w:val="007761FB"/>
    <w:rsid w:val="00783AC6"/>
    <w:rsid w:val="00784DE2"/>
    <w:rsid w:val="00786BF1"/>
    <w:rsid w:val="007875ED"/>
    <w:rsid w:val="007A58C0"/>
    <w:rsid w:val="007A7281"/>
    <w:rsid w:val="007A782B"/>
    <w:rsid w:val="007F30C7"/>
    <w:rsid w:val="00800518"/>
    <w:rsid w:val="0080285D"/>
    <w:rsid w:val="00804428"/>
    <w:rsid w:val="008250E2"/>
    <w:rsid w:val="00840EFA"/>
    <w:rsid w:val="00843E30"/>
    <w:rsid w:val="00845C58"/>
    <w:rsid w:val="008551A9"/>
    <w:rsid w:val="00860257"/>
    <w:rsid w:val="008626AA"/>
    <w:rsid w:val="008631A5"/>
    <w:rsid w:val="00864AD4"/>
    <w:rsid w:val="00871B18"/>
    <w:rsid w:val="00875F28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D7EFC"/>
    <w:rsid w:val="008E6F71"/>
    <w:rsid w:val="0090111A"/>
    <w:rsid w:val="00916AF7"/>
    <w:rsid w:val="00920E44"/>
    <w:rsid w:val="009239C6"/>
    <w:rsid w:val="009312C0"/>
    <w:rsid w:val="00944008"/>
    <w:rsid w:val="0095620D"/>
    <w:rsid w:val="009567D2"/>
    <w:rsid w:val="00967403"/>
    <w:rsid w:val="00967561"/>
    <w:rsid w:val="00976958"/>
    <w:rsid w:val="00992BCE"/>
    <w:rsid w:val="009E1946"/>
    <w:rsid w:val="009F75D1"/>
    <w:rsid w:val="009F7FE4"/>
    <w:rsid w:val="00A02845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A413D"/>
    <w:rsid w:val="00AC641B"/>
    <w:rsid w:val="00AE1F56"/>
    <w:rsid w:val="00AE214F"/>
    <w:rsid w:val="00AE7A2E"/>
    <w:rsid w:val="00AF71AF"/>
    <w:rsid w:val="00B06BD2"/>
    <w:rsid w:val="00B143E6"/>
    <w:rsid w:val="00B174C0"/>
    <w:rsid w:val="00B17C7F"/>
    <w:rsid w:val="00B374A9"/>
    <w:rsid w:val="00B444DF"/>
    <w:rsid w:val="00B54143"/>
    <w:rsid w:val="00B544BA"/>
    <w:rsid w:val="00B56A6C"/>
    <w:rsid w:val="00B6170F"/>
    <w:rsid w:val="00B62F9B"/>
    <w:rsid w:val="00B669D2"/>
    <w:rsid w:val="00B823E2"/>
    <w:rsid w:val="00B90E8D"/>
    <w:rsid w:val="00B920BC"/>
    <w:rsid w:val="00BA12A1"/>
    <w:rsid w:val="00BA573B"/>
    <w:rsid w:val="00BD0B3B"/>
    <w:rsid w:val="00BD3561"/>
    <w:rsid w:val="00BE0D6E"/>
    <w:rsid w:val="00BE5AF1"/>
    <w:rsid w:val="00C011D5"/>
    <w:rsid w:val="00C0692E"/>
    <w:rsid w:val="00C106E2"/>
    <w:rsid w:val="00C33BA8"/>
    <w:rsid w:val="00C35BA3"/>
    <w:rsid w:val="00C60CED"/>
    <w:rsid w:val="00C7741D"/>
    <w:rsid w:val="00C77A2C"/>
    <w:rsid w:val="00C800E3"/>
    <w:rsid w:val="00C84C21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5750"/>
    <w:rsid w:val="00D67287"/>
    <w:rsid w:val="00D846C7"/>
    <w:rsid w:val="00D85416"/>
    <w:rsid w:val="00D91106"/>
    <w:rsid w:val="00D97AFA"/>
    <w:rsid w:val="00DA1B75"/>
    <w:rsid w:val="00DA4DB4"/>
    <w:rsid w:val="00DB51F3"/>
    <w:rsid w:val="00DC188E"/>
    <w:rsid w:val="00DD5BF0"/>
    <w:rsid w:val="00DE3892"/>
    <w:rsid w:val="00E1379D"/>
    <w:rsid w:val="00E140E6"/>
    <w:rsid w:val="00E17418"/>
    <w:rsid w:val="00E27AF2"/>
    <w:rsid w:val="00E3357D"/>
    <w:rsid w:val="00E420D5"/>
    <w:rsid w:val="00E43656"/>
    <w:rsid w:val="00E51B09"/>
    <w:rsid w:val="00E52115"/>
    <w:rsid w:val="00E55C69"/>
    <w:rsid w:val="00E60DCE"/>
    <w:rsid w:val="00E630FC"/>
    <w:rsid w:val="00E643C2"/>
    <w:rsid w:val="00E66942"/>
    <w:rsid w:val="00E70E66"/>
    <w:rsid w:val="00E71C01"/>
    <w:rsid w:val="00E80ACA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F0060B"/>
    <w:rsid w:val="00F105A5"/>
    <w:rsid w:val="00F161EB"/>
    <w:rsid w:val="00F22678"/>
    <w:rsid w:val="00F24F5D"/>
    <w:rsid w:val="00F4033E"/>
    <w:rsid w:val="00F50F29"/>
    <w:rsid w:val="00F56214"/>
    <w:rsid w:val="00F6628D"/>
    <w:rsid w:val="00F71659"/>
    <w:rsid w:val="00F8161E"/>
    <w:rsid w:val="00FA03FB"/>
    <w:rsid w:val="00FA1899"/>
    <w:rsid w:val="00FA771C"/>
    <w:rsid w:val="00FB6D45"/>
    <w:rsid w:val="00FC15A8"/>
    <w:rsid w:val="00FC4262"/>
    <w:rsid w:val="00FC6FAE"/>
    <w:rsid w:val="00FD1859"/>
    <w:rsid w:val="00FE62C8"/>
    <w:rsid w:val="00FE6462"/>
    <w:rsid w:val="00FE64DD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0D86068-4ED2-4359-8074-1075848A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eader" Target="header2.xml"/><Relationship Id="rId26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yperlink" Target="https://www.jobaccess.gov.au/find-a-provider" TargetMode="Externa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yperlink" Target="https://www.jobaccess.gov.au/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dis.gov.au/participants/finding-keeping-and-changing-jobs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yperlink" Target="https://www.ndis.gov.au/providers/working-provider/delivering-capacity-building-employment-assistance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hyperlink" Target="https://www.ndis.gov.a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7D4A0-E33A-45FF-BB90-41A4740509B7}"/>
</file>

<file path=customXml/itemProps3.xml><?xml version="1.0" encoding="utf-8"?>
<ds:datastoreItem xmlns:ds="http://schemas.openxmlformats.org/officeDocument/2006/customXml" ds:itemID="{1FE080E3-FC75-459A-ACE6-27BD205FBCE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d6520638-0d4b-4f10-b9f9-cc818b5e46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4358</CharactersWithSpaces>
  <SharedDoc>false</SharedDoc>
  <HLinks>
    <vt:vector size="54" baseType="variant">
      <vt:variant>
        <vt:i4>2228286</vt:i4>
      </vt:variant>
      <vt:variant>
        <vt:i4>27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18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3</cp:revision>
  <cp:lastPrinted>2023-02-24T00:01:00Z</cp:lastPrinted>
  <dcterms:created xsi:type="dcterms:W3CDTF">2025-02-19T02:15:00Z</dcterms:created>
  <dcterms:modified xsi:type="dcterms:W3CDTF">2025-04-09T00:25:00Z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