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77907" w14:textId="77777777" w:rsidR="00B25456" w:rsidRDefault="00F926A5" w:rsidP="00733C11">
      <w:pPr>
        <w:pStyle w:val="Title"/>
        <w:rPr>
          <w:bCs/>
        </w:rPr>
      </w:pPr>
      <w:bookmarkStart w:id="0" w:name="_Hlk103166844"/>
      <w:bookmarkStart w:id="1" w:name="_Toc84334888"/>
      <w:r>
        <w:rPr>
          <w:bCs/>
          <w:lang w:val="vi"/>
        </w:rPr>
        <w:t>Lựa chọn cho Năm 11 và 12</w:t>
      </w:r>
    </w:p>
    <w:p w14:paraId="0D8B47A9" w14:textId="34D8B4A9" w:rsidR="00F926A5" w:rsidRPr="00AC269B" w:rsidRDefault="00F926A5" w:rsidP="00733C11">
      <w:pPr>
        <w:pStyle w:val="Title"/>
        <w:rPr>
          <w:bCs/>
        </w:rPr>
      </w:pPr>
      <w:r>
        <w:rPr>
          <w:bCs/>
          <w:color w:val="auto"/>
          <w:sz w:val="36"/>
          <w:szCs w:val="36"/>
          <w:lang w:val="vi"/>
        </w:rPr>
        <w:t>Thông tin cho phụ huynh và người chăm sóc</w:t>
      </w:r>
    </w:p>
    <w:bookmarkEnd w:id="0"/>
    <w:bookmarkEnd w:id="1"/>
    <w:p w14:paraId="02C42707" w14:textId="07912C4E" w:rsidR="00F926A5" w:rsidRPr="00FE77E3" w:rsidRDefault="00F926A5" w:rsidP="00A10BB8">
      <w:pPr>
        <w:widowControl w:val="0"/>
        <w:autoSpaceDE w:val="0"/>
        <w:autoSpaceDN w:val="0"/>
        <w:spacing w:before="209"/>
        <w:ind w:right="166"/>
        <w:rPr>
          <w:rFonts w:eastAsia="Arial"/>
          <w:szCs w:val="22"/>
          <w:lang w:val="vi"/>
        </w:rPr>
      </w:pPr>
      <w:r>
        <w:rPr>
          <w:rFonts w:eastAsia="Arial"/>
          <w:szCs w:val="22"/>
          <w:lang w:val="vi"/>
        </w:rPr>
        <w:t>Học sinh có thể quan tâm đến học đại học, có suy nghĩ một nghề cụ thể cần giáo dục và đào tạo thêm nữa, hoặc dự định đi làm sau khi tốt nghiệp. Có nhiều loại lựa chọn cho học sinh Lớp 11 và 12 cung cấp nhiều con đường đến đại học, đào tạo và việc làm.</w:t>
      </w:r>
    </w:p>
    <w:p w14:paraId="3A19F86E" w14:textId="77777777" w:rsidR="00F926A5" w:rsidRPr="00FE77E3" w:rsidRDefault="00F926A5" w:rsidP="00F926A5">
      <w:pPr>
        <w:widowControl w:val="0"/>
        <w:autoSpaceDE w:val="0"/>
        <w:autoSpaceDN w:val="0"/>
        <w:spacing w:before="1"/>
        <w:rPr>
          <w:rFonts w:eastAsia="Arial"/>
          <w:szCs w:val="22"/>
          <w:lang w:val="vi"/>
        </w:rPr>
      </w:pPr>
    </w:p>
    <w:p w14:paraId="115C7958" w14:textId="6FC1600B" w:rsidR="00F926A5" w:rsidRPr="00FE77E3" w:rsidRDefault="00F926A5" w:rsidP="00A10BB8">
      <w:pPr>
        <w:widowControl w:val="0"/>
        <w:autoSpaceDE w:val="0"/>
        <w:autoSpaceDN w:val="0"/>
        <w:rPr>
          <w:rFonts w:eastAsia="Arial"/>
          <w:b/>
          <w:color w:val="592C82"/>
          <w:sz w:val="26"/>
          <w:szCs w:val="22"/>
          <w:lang w:val="vi"/>
        </w:rPr>
      </w:pPr>
      <w:r>
        <w:rPr>
          <w:rFonts w:eastAsia="Arial"/>
          <w:b/>
          <w:bCs/>
          <w:color w:val="592C82"/>
          <w:sz w:val="26"/>
          <w:szCs w:val="22"/>
          <w:lang w:val="vi"/>
        </w:rPr>
        <w:t>Những lựa chọn môn học và chương trình cho học sinh Lớp 11 và 12</w:t>
      </w:r>
    </w:p>
    <w:p w14:paraId="0EF80CEA" w14:textId="77777777" w:rsidR="005007C0" w:rsidRPr="00FE77E3" w:rsidRDefault="005007C0" w:rsidP="005007C0">
      <w:pPr>
        <w:rPr>
          <w:lang w:val="vi"/>
        </w:rPr>
      </w:pPr>
    </w:p>
    <w:tbl>
      <w:tblPr>
        <w:tblStyle w:val="DOETable1"/>
        <w:tblW w:w="9069" w:type="dxa"/>
        <w:tblLook w:val="04A0" w:firstRow="1" w:lastRow="0" w:firstColumn="1" w:lastColumn="0" w:noHBand="0" w:noVBand="1"/>
      </w:tblPr>
      <w:tblGrid>
        <w:gridCol w:w="1696"/>
        <w:gridCol w:w="7373"/>
      </w:tblGrid>
      <w:tr w:rsidR="005007C0" w14:paraId="5756009C" w14:textId="77777777" w:rsidTr="005007C0">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696" w:type="dxa"/>
            <w:hideMark/>
          </w:tcPr>
          <w:p w14:paraId="5D142713" w14:textId="3D76CDF8" w:rsidR="005007C0" w:rsidRDefault="00F926A5">
            <w:r>
              <w:rPr>
                <w:lang w:val="vi"/>
              </w:rPr>
              <w:t>Những lựa chọn</w:t>
            </w:r>
          </w:p>
        </w:tc>
        <w:tc>
          <w:tcPr>
            <w:tcW w:w="7373" w:type="dxa"/>
            <w:hideMark/>
          </w:tcPr>
          <w:p w14:paraId="692BFB56" w14:textId="77777777" w:rsidR="005007C0" w:rsidRDefault="005007C0">
            <w:pPr>
              <w:cnfStyle w:val="100000000000" w:firstRow="1" w:lastRow="0" w:firstColumn="0" w:lastColumn="0" w:oddVBand="0" w:evenVBand="0" w:oddHBand="0" w:evenHBand="0" w:firstRowFirstColumn="0" w:firstRowLastColumn="0" w:lastRowFirstColumn="0" w:lastRowLastColumn="0"/>
            </w:pPr>
            <w:r>
              <w:rPr>
                <w:lang w:val="vi"/>
              </w:rPr>
              <w:t>Mô tả</w:t>
            </w:r>
          </w:p>
        </w:tc>
      </w:tr>
      <w:tr w:rsidR="005007C0" w:rsidRPr="00FE77E3" w14:paraId="44481792" w14:textId="77777777" w:rsidTr="005E7D74">
        <w:trPr>
          <w:trHeight w:val="1623"/>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19624FDE" w14:textId="545845F6" w:rsidR="005007C0" w:rsidRDefault="00F926A5" w:rsidP="00D904A2">
            <w:r>
              <w:rPr>
                <w:lang w:val="vi"/>
              </w:rPr>
              <w:t>Các môn ATAR</w:t>
            </w:r>
          </w:p>
        </w:tc>
        <w:tc>
          <w:tcPr>
            <w:tcW w:w="0" w:type="dxa"/>
            <w:vAlign w:val="center"/>
            <w:hideMark/>
          </w:tcPr>
          <w:p w14:paraId="6B9EC067" w14:textId="6019E3FE" w:rsidR="00DB2889" w:rsidRPr="00FE77E3" w:rsidRDefault="00F926A5" w:rsidP="005E7D74">
            <w:pPr>
              <w:cnfStyle w:val="000000000000" w:firstRow="0" w:lastRow="0" w:firstColumn="0" w:lastColumn="0" w:oddVBand="0" w:evenVBand="0" w:oddHBand="0" w:evenHBand="0" w:firstRowFirstColumn="0" w:firstRowLastColumn="0" w:lastRowFirstColumn="0" w:lastRowLastColumn="0"/>
              <w:rPr>
                <w:spacing w:val="-2"/>
                <w:lang w:val="vi"/>
              </w:rPr>
            </w:pPr>
            <w:r>
              <w:rPr>
                <w:lang w:val="vi"/>
              </w:rPr>
              <w:t>Các môn ATAR (Xếp hạng Tuyển sinh Đại học Úc) điển hình tập trung vào học thuật. Học sinh muốn đạt ATAR cần hoàn tất tối thiểu 4 môn ATAR Lớp 12. Mặc dù thường được học để vào đại học, các môn ATAR cũng là sự chuẩn bị hoàn hảo cho nhiều đường hướng sau khi tốt nghiệp, bao gồm đào tạo nghề.</w:t>
            </w:r>
          </w:p>
        </w:tc>
      </w:tr>
      <w:tr w:rsidR="005007C0" w:rsidRPr="00FE77E3" w14:paraId="7EB3A465" w14:textId="77777777" w:rsidTr="005E7D74">
        <w:trPr>
          <w:cnfStyle w:val="000000010000" w:firstRow="0" w:lastRow="0" w:firstColumn="0" w:lastColumn="0" w:oddVBand="0" w:evenVBand="0" w:oddHBand="0" w:evenHBand="1" w:firstRowFirstColumn="0" w:firstRowLastColumn="0" w:lastRowFirstColumn="0" w:lastRowLastColumn="0"/>
          <w:trHeight w:val="2104"/>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1CBD0219" w14:textId="64F15F4F" w:rsidR="005007C0" w:rsidRDefault="00F926A5" w:rsidP="00D904A2">
            <w:r>
              <w:rPr>
                <w:lang w:val="vi"/>
              </w:rPr>
              <w:t>Các môn tổng quát</w:t>
            </w:r>
          </w:p>
        </w:tc>
        <w:tc>
          <w:tcPr>
            <w:tcW w:w="0" w:type="dxa"/>
            <w:vAlign w:val="center"/>
            <w:hideMark/>
          </w:tcPr>
          <w:p w14:paraId="1A064C8E" w14:textId="520756AC" w:rsidR="00DB2889" w:rsidRPr="00FE77E3" w:rsidRDefault="00F926A5" w:rsidP="005E7D74">
            <w:pPr>
              <w:cnfStyle w:val="000000010000" w:firstRow="0" w:lastRow="0" w:firstColumn="0" w:lastColumn="0" w:oddVBand="0" w:evenVBand="0" w:oddHBand="0" w:evenHBand="1" w:firstRowFirstColumn="0" w:firstRowLastColumn="0" w:lastRowFirstColumn="0" w:lastRowLastColumn="0"/>
              <w:rPr>
                <w:lang w:val="vi"/>
              </w:rPr>
            </w:pPr>
            <w:r>
              <w:rPr>
                <w:lang w:val="vi"/>
              </w:rPr>
              <w:t>Những môn này chủ yếu dành cho các học sinh hướng đến đào tạo nghề hoặc đi làm sau khi tốt nghiệp. Các môn tổng quát không có những kỳ thi do bên ngoài ra đề như các môn ATAR, nhưng chúng có một bài kiểm tra được bên ngoài ra đề bắt buộc ở Lớp 12 chiếm 15% tổng điểm đánh giá của một học sinh. Học sinh có thể sử dụng một số môn tổng quát như một phần thay thế hoặc hỗ trợ vào một số khóa đại học.</w:t>
            </w:r>
          </w:p>
        </w:tc>
      </w:tr>
      <w:tr w:rsidR="005007C0" w:rsidRPr="00FE77E3" w14:paraId="2AF37302" w14:textId="77777777" w:rsidTr="005E7D74">
        <w:trPr>
          <w:trHeight w:val="2363"/>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4CB6BB77" w14:textId="53EC8704" w:rsidR="005007C0" w:rsidRDefault="00F926A5" w:rsidP="00D904A2">
            <w:r>
              <w:rPr>
                <w:lang w:val="vi"/>
              </w:rPr>
              <w:t>Các môn nền tảng</w:t>
            </w:r>
          </w:p>
        </w:tc>
        <w:tc>
          <w:tcPr>
            <w:tcW w:w="0" w:type="dxa"/>
            <w:vAlign w:val="center"/>
            <w:hideMark/>
          </w:tcPr>
          <w:p w14:paraId="639E94E6" w14:textId="0A3A1D83" w:rsidR="00F926A5" w:rsidRPr="00FE77E3" w:rsidRDefault="00F926A5" w:rsidP="005E7D74">
            <w:pPr>
              <w:cnfStyle w:val="000000000000" w:firstRow="0" w:lastRow="0" w:firstColumn="0" w:lastColumn="0" w:oddVBand="0" w:evenVBand="0" w:oddHBand="0" w:evenHBand="0" w:firstRowFirstColumn="0" w:firstRowLastColumn="0" w:lastRowFirstColumn="0" w:lastRowLastColumn="0"/>
              <w:rPr>
                <w:lang w:val="vi"/>
              </w:rPr>
            </w:pPr>
            <w:r>
              <w:rPr>
                <w:lang w:val="vi"/>
              </w:rPr>
              <w:t>Được thiết kế cho những học sinh cần hỗ trợ để đạt tiêu chuẩn tối thiểu về biết đọc biết viết và/hoặc tính toán cơ bản trước khi kết thúc Lớp 12. Những môn này đặt trọng tâm vào những kỹ năng đọc viết và tính toán thực dụng, kinh nghiệm liên quan việc làm thực tế và cơ hội để xây dựng những kỹ năng cá nhân quan trọng cho cuộc sống và công việc.</w:t>
            </w:r>
          </w:p>
          <w:p w14:paraId="194298FA" w14:textId="439B0616" w:rsidR="00DB2889" w:rsidRPr="00FE77E3" w:rsidRDefault="00F926A5" w:rsidP="005E7D74">
            <w:pPr>
              <w:cnfStyle w:val="000000000000" w:firstRow="0" w:lastRow="0" w:firstColumn="0" w:lastColumn="0" w:oddVBand="0" w:evenVBand="0" w:oddHBand="0" w:evenHBand="0" w:firstRowFirstColumn="0" w:firstRowLastColumn="0" w:lastRowFirstColumn="0" w:lastRowLastColumn="0"/>
              <w:rPr>
                <w:lang w:val="vi"/>
              </w:rPr>
            </w:pPr>
            <w:r>
              <w:rPr>
                <w:lang w:val="vi"/>
              </w:rPr>
              <w:t>Các môn nền tảng không phải thi, chúng có một bài kiểm tra được bên ngoài ra đề bắt buộc ở Lớp 12 chiếm 15% tổng điểm đánh giá ở trường của một học sinh cho khóa học.</w:t>
            </w:r>
          </w:p>
        </w:tc>
      </w:tr>
      <w:tr w:rsidR="005007C0" w:rsidRPr="00FE77E3" w14:paraId="45D7644D" w14:textId="77777777" w:rsidTr="005E7D74">
        <w:trPr>
          <w:cnfStyle w:val="000000010000" w:firstRow="0" w:lastRow="0" w:firstColumn="0" w:lastColumn="0" w:oddVBand="0" w:evenVBand="0" w:oddHBand="0" w:evenHBand="1" w:firstRowFirstColumn="0" w:firstRowLastColumn="0" w:lastRowFirstColumn="0" w:lastRowLastColumn="0"/>
          <w:trHeight w:val="1378"/>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588FD271" w14:textId="2D053B28" w:rsidR="005007C0" w:rsidRDefault="00F926A5" w:rsidP="00D904A2">
            <w:r>
              <w:rPr>
                <w:lang w:val="vi"/>
              </w:rPr>
              <w:t>Bằng cấp VET</w:t>
            </w:r>
          </w:p>
        </w:tc>
        <w:tc>
          <w:tcPr>
            <w:tcW w:w="0" w:type="dxa"/>
            <w:vAlign w:val="center"/>
            <w:hideMark/>
          </w:tcPr>
          <w:p w14:paraId="2089142A" w14:textId="3D91EB93" w:rsidR="00DB2889" w:rsidRPr="00FE77E3" w:rsidRDefault="00F926A5" w:rsidP="005E7D74">
            <w:pPr>
              <w:cnfStyle w:val="000000010000" w:firstRow="0" w:lastRow="0" w:firstColumn="0" w:lastColumn="0" w:oddVBand="0" w:evenVBand="0" w:oddHBand="0" w:evenHBand="1" w:firstRowFirstColumn="0" w:firstRowLastColumn="0" w:lastRowFirstColumn="0" w:lastRowLastColumn="0"/>
              <w:rPr>
                <w:lang w:val="vi"/>
              </w:rPr>
            </w:pPr>
            <w:r>
              <w:rPr>
                <w:lang w:val="vi"/>
              </w:rPr>
              <w:t>Học sinh hoàn tất bằng cấp học và đào tạo nghề (VET) được công nhận toàn quốc. VET xây dựng những kỹ năng và kiến thức ở và cho nơi làm việc. Học sinh có thể sử dụng bằng cấp VET để hướng đến đạt Bằng Tốt nghiệp cấp 3 (Chứng nhận Giáo dục bang Tây Úc) (WACE).</w:t>
            </w:r>
          </w:p>
        </w:tc>
      </w:tr>
    </w:tbl>
    <w:p w14:paraId="353A5361" w14:textId="199D8AAE" w:rsidR="00AB4166" w:rsidRPr="00FE77E3" w:rsidRDefault="00AB4166">
      <w:pPr>
        <w:rPr>
          <w:lang w:val="vi"/>
        </w:rPr>
      </w:pPr>
    </w:p>
    <w:tbl>
      <w:tblPr>
        <w:tblStyle w:val="DOETable1"/>
        <w:tblW w:w="9069" w:type="dxa"/>
        <w:tblLook w:val="0480" w:firstRow="0" w:lastRow="0" w:firstColumn="1" w:lastColumn="0" w:noHBand="0" w:noVBand="1"/>
      </w:tblPr>
      <w:tblGrid>
        <w:gridCol w:w="1696"/>
        <w:gridCol w:w="7373"/>
      </w:tblGrid>
      <w:tr w:rsidR="005007C0" w:rsidRPr="00FE77E3" w14:paraId="7604C42F" w14:textId="77777777" w:rsidTr="005E7D74">
        <w:trPr>
          <w:trHeight w:val="113"/>
        </w:trPr>
        <w:tc>
          <w:tcPr>
            <w:cnfStyle w:val="001000000000" w:firstRow="0" w:lastRow="0" w:firstColumn="1" w:lastColumn="0" w:oddVBand="0" w:evenVBand="0" w:oddHBand="0" w:evenHBand="0" w:firstRowFirstColumn="0" w:firstRowLastColumn="0" w:lastRowFirstColumn="0" w:lastRowLastColumn="0"/>
            <w:tcW w:w="1696" w:type="dxa"/>
            <w:vAlign w:val="center"/>
            <w:hideMark/>
          </w:tcPr>
          <w:p w14:paraId="732FBE07" w14:textId="4216F62C" w:rsidR="005007C0" w:rsidRPr="00FE77E3" w:rsidRDefault="00F926A5" w:rsidP="00567D4C">
            <w:pPr>
              <w:rPr>
                <w:lang w:val="vi"/>
              </w:rPr>
            </w:pPr>
            <w:r>
              <w:rPr>
                <w:lang w:val="vi"/>
              </w:rPr>
              <w:lastRenderedPageBreak/>
              <w:t>Các chương trình được chấp thuận</w:t>
            </w:r>
          </w:p>
        </w:tc>
        <w:tc>
          <w:tcPr>
            <w:tcW w:w="7373" w:type="dxa"/>
            <w:vAlign w:val="center"/>
            <w:hideMark/>
          </w:tcPr>
          <w:p w14:paraId="099A0D81" w14:textId="23F7CFD3" w:rsidR="00DB2889" w:rsidRPr="00FE77E3" w:rsidRDefault="00F926A5" w:rsidP="005E7D74">
            <w:pPr>
              <w:cnfStyle w:val="000000000000" w:firstRow="0" w:lastRow="0" w:firstColumn="0" w:lastColumn="0" w:oddVBand="0" w:evenVBand="0" w:oddHBand="0" w:evenHBand="0" w:firstRowFirstColumn="0" w:firstRowLastColumn="0" w:lastRowFirstColumn="0" w:lastRowLastColumn="0"/>
              <w:rPr>
                <w:color w:val="000000"/>
                <w:shd w:val="clear" w:color="auto" w:fill="FFFFFF"/>
                <w:lang w:val="vi"/>
              </w:rPr>
            </w:pPr>
            <w:r>
              <w:rPr>
                <w:color w:val="000000"/>
                <w:shd w:val="clear" w:color="auto" w:fill="FFFFFF"/>
                <w:lang w:val="vi"/>
              </w:rPr>
              <w:t>Các chương trình được chấp thuận cung cấp học tập thông qua các hoạt động không có trong các môn WACE hoặc chương trình VET. Các chương trình được chấp thuận dành cho các học sinh muốn tham gia vào những chương trình được thực hiện ở những môi trường đa dạng bởi trường học, nơi làm việc, đại học và các tổ chức cộng đồng.Các chương trình được chấp thuận có thể được thực hiện như một phần trong chương trình học của trường hoặc như các hoạt động ngoại khóa và học sinh có thể sử dụng chúng để tích điểm hướng đến đạt bằng tốt nghiệp cấp 3 (WACE).</w:t>
            </w:r>
          </w:p>
        </w:tc>
      </w:tr>
      <w:tr w:rsidR="005007C0" w:rsidRPr="00FE77E3" w14:paraId="4759E201" w14:textId="77777777" w:rsidTr="005E7D74">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696" w:type="dxa"/>
            <w:vAlign w:val="center"/>
            <w:hideMark/>
          </w:tcPr>
          <w:p w14:paraId="2FE7335D" w14:textId="6B72BDF8" w:rsidR="005007C0" w:rsidRDefault="00F926A5" w:rsidP="00567D4C">
            <w:r>
              <w:rPr>
                <w:lang w:val="vi"/>
              </w:rPr>
              <w:t>Những môn sơ khởi</w:t>
            </w:r>
          </w:p>
        </w:tc>
        <w:tc>
          <w:tcPr>
            <w:tcW w:w="7373" w:type="dxa"/>
            <w:vAlign w:val="center"/>
            <w:hideMark/>
          </w:tcPr>
          <w:p w14:paraId="24EC0142" w14:textId="08CA7EB6" w:rsidR="00F926A5" w:rsidRPr="00FE77E3" w:rsidRDefault="00F926A5" w:rsidP="005E7D74">
            <w:pPr>
              <w:cnfStyle w:val="000000010000" w:firstRow="0" w:lastRow="0" w:firstColumn="0" w:lastColumn="0" w:oddVBand="0" w:evenVBand="0" w:oddHBand="0" w:evenHBand="1" w:firstRowFirstColumn="0" w:firstRowLastColumn="0" w:lastRowFirstColumn="0" w:lastRowLastColumn="0"/>
              <w:rPr>
                <w:lang w:val="vi"/>
              </w:rPr>
            </w:pPr>
            <w:r>
              <w:rPr>
                <w:lang w:val="vi"/>
              </w:rPr>
              <w:t>Những môn sơ khởi được thiết kế cho các học sinh đã được xác định là gặp khó khăn trong học tập và/hoặc khuyết tật trí tuệ. Những môn này cung cấp các lựa chọn cho những học sinh không thể học nội dung các môn thi ATAR, Tổng quát hoặc Nền tảng có điều chỉnh và/hoặc điều kiện khuyết tật.</w:t>
            </w:r>
          </w:p>
          <w:p w14:paraId="53AA4D07" w14:textId="6028C291" w:rsidR="00DB2889" w:rsidRPr="00FE77E3" w:rsidRDefault="00F926A5" w:rsidP="005E7D74">
            <w:pPr>
              <w:cnfStyle w:val="000000010000" w:firstRow="0" w:lastRow="0" w:firstColumn="0" w:lastColumn="0" w:oddVBand="0" w:evenVBand="0" w:oddHBand="0" w:evenHBand="1" w:firstRowFirstColumn="0" w:firstRowLastColumn="0" w:lastRowFirstColumn="0" w:lastRowLastColumn="0"/>
              <w:rPr>
                <w:lang w:val="vi"/>
              </w:rPr>
            </w:pPr>
            <w:r>
              <w:rPr>
                <w:lang w:val="vi"/>
              </w:rPr>
              <w:t>Các đơn vị học trình sơ khởi không được tính vào thành tích WACE.</w:t>
            </w:r>
          </w:p>
        </w:tc>
      </w:tr>
    </w:tbl>
    <w:p w14:paraId="2BEEC91B" w14:textId="77777777" w:rsidR="00F926A5" w:rsidRPr="00FE77E3" w:rsidRDefault="00F926A5" w:rsidP="00F926A5">
      <w:pPr>
        <w:pStyle w:val="Notes"/>
        <w:rPr>
          <w:lang w:val="vi"/>
        </w:rPr>
      </w:pPr>
    </w:p>
    <w:sectPr w:rsidR="00F926A5" w:rsidRPr="00FE77E3" w:rsidSect="003E7296">
      <w:headerReference w:type="default" r:id="rId12"/>
      <w:footerReference w:type="default" r:id="rId13"/>
      <w:headerReference w:type="first" r:id="rId14"/>
      <w:footerReference w:type="first" r:id="rId15"/>
      <w:pgSz w:w="11906" w:h="16838"/>
      <w:pgMar w:top="2268" w:right="1418" w:bottom="1559" w:left="1418" w:header="709" w:footer="79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4EAFA" w14:textId="77777777" w:rsidR="009261FF" w:rsidRDefault="009261FF" w:rsidP="00127DAD">
      <w:r>
        <w:separator/>
      </w:r>
    </w:p>
  </w:endnote>
  <w:endnote w:type="continuationSeparator" w:id="0">
    <w:p w14:paraId="6BFF8649" w14:textId="77777777" w:rsidR="009261FF" w:rsidRDefault="009261FF"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0FB0A4CC" w:rsidR="008626AA" w:rsidRPr="003E7296" w:rsidRDefault="008626AA" w:rsidP="008626AA">
    <w:pPr>
      <w:pStyle w:val="Footer"/>
      <w:rPr>
        <w:sz w:val="18"/>
        <w:szCs w:val="14"/>
      </w:rPr>
    </w:pPr>
    <w:r>
      <w:rPr>
        <w:lang w:val="vi"/>
      </w:rPr>
      <w:tab/>
    </w:r>
    <w:r>
      <w:rPr>
        <w:lang w:val="vi"/>
      </w:rPr>
      <w:tab/>
    </w:r>
    <w:sdt>
      <w:sdtPr>
        <w:rPr>
          <w:sz w:val="18"/>
          <w:szCs w:val="14"/>
        </w:r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vi"/>
          </w:rPr>
          <w:t>D24/0256674</w:t>
        </w:r>
      </w:sdtContent>
    </w:sdt>
  </w:p>
  <w:p w14:paraId="3CC1B870" w14:textId="0C9C4C4C" w:rsidR="000F6D5A" w:rsidRPr="003E7296" w:rsidRDefault="008626AA" w:rsidP="008626AA">
    <w:pPr>
      <w:pStyle w:val="Footer"/>
      <w:rPr>
        <w:sz w:val="18"/>
        <w:szCs w:val="14"/>
      </w:rPr>
    </w:pPr>
    <w:r>
      <w:rPr>
        <w:sz w:val="18"/>
        <w:szCs w:val="14"/>
        <w:lang w:val="vi"/>
      </w:rPr>
      <w:tab/>
    </w:r>
    <w:r>
      <w:rPr>
        <w:sz w:val="18"/>
        <w:szCs w:val="14"/>
        <w:lang w:val="vi"/>
      </w:rPr>
      <w:fldChar w:fldCharType="begin"/>
    </w:r>
    <w:r>
      <w:rPr>
        <w:sz w:val="18"/>
        <w:szCs w:val="14"/>
        <w:lang w:val="vi"/>
      </w:rPr>
      <w:instrText xml:space="preserve"> PAGE   \* MERGEFORMAT </w:instrText>
    </w:r>
    <w:r>
      <w:rPr>
        <w:sz w:val="18"/>
        <w:szCs w:val="14"/>
        <w:lang w:val="vi"/>
      </w:rPr>
      <w:fldChar w:fldCharType="separate"/>
    </w:r>
    <w:r>
      <w:rPr>
        <w:noProof/>
        <w:sz w:val="18"/>
        <w:szCs w:val="14"/>
        <w:lang w:val="vi"/>
      </w:rPr>
      <w:t>2</w:t>
    </w:r>
    <w:r>
      <w:rPr>
        <w:sz w:val="18"/>
        <w:szCs w:val="14"/>
        <w:lang w:val="vi"/>
      </w:rPr>
      <w:fldChar w:fldCharType="end"/>
    </w:r>
    <w:r>
      <w:rPr>
        <w:sz w:val="18"/>
        <w:szCs w:val="14"/>
        <w:lang w:val="vi"/>
      </w:rPr>
      <w:tab/>
      <w:t>February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7FBB372F" w:rsidR="00440775" w:rsidRPr="003E7296" w:rsidRDefault="001E1668" w:rsidP="001E1668">
    <w:pPr>
      <w:pStyle w:val="Footer"/>
      <w:rPr>
        <w:sz w:val="18"/>
        <w:szCs w:val="14"/>
      </w:rPr>
    </w:pPr>
    <w:r>
      <w:rPr>
        <w:lang w:val="vi"/>
      </w:rPr>
      <w:tab/>
    </w:r>
    <w:r>
      <w:rPr>
        <w:lang w:val="vi"/>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vi"/>
          </w:rPr>
          <w:t>D24/0256674</w:t>
        </w:r>
      </w:sdtContent>
    </w:sdt>
  </w:p>
  <w:p w14:paraId="0E2C46A7" w14:textId="0337A0DE" w:rsidR="00AF71AF" w:rsidRPr="00FE0C8C" w:rsidRDefault="00440775" w:rsidP="001E1668">
    <w:pPr>
      <w:pStyle w:val="Footer"/>
      <w:rPr>
        <w:sz w:val="18"/>
        <w:szCs w:val="14"/>
      </w:rPr>
    </w:pPr>
    <w:r>
      <w:rPr>
        <w:color w:val="auto"/>
        <w:sz w:val="18"/>
        <w:szCs w:val="14"/>
        <w:lang w:val="vi"/>
      </w:rPr>
      <w:tab/>
    </w:r>
    <w:r>
      <w:rPr>
        <w:color w:val="auto"/>
        <w:sz w:val="18"/>
        <w:szCs w:val="14"/>
        <w:lang w:val="vi"/>
      </w:rPr>
      <w:tab/>
    </w:r>
    <w:r>
      <w:rPr>
        <w:sz w:val="18"/>
        <w:szCs w:val="14"/>
        <w:lang w:val="vi"/>
      </w:rPr>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ACF37" w14:textId="77777777" w:rsidR="009261FF" w:rsidRDefault="009261FF" w:rsidP="00127DAD">
      <w:r>
        <w:separator/>
      </w:r>
    </w:p>
  </w:footnote>
  <w:footnote w:type="continuationSeparator" w:id="0">
    <w:p w14:paraId="5E5A24A9" w14:textId="77777777" w:rsidR="009261FF" w:rsidRDefault="009261FF"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77777777" w:rsidR="00633068" w:rsidRDefault="00633068">
    <w:pPr>
      <w:pStyle w:val="Header"/>
    </w:pPr>
    <w:r>
      <w:rPr>
        <w:noProof/>
        <w:lang w:val="vi"/>
      </w:rPr>
      <w:drawing>
        <wp:anchor distT="0" distB="0" distL="114300" distR="114300" simplePos="0" relativeHeight="251657728"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60A79189" w:rsidR="00916AF7" w:rsidRDefault="00FE77E3" w:rsidP="00127DAD">
    <w:pPr>
      <w:pStyle w:val="Header"/>
    </w:pPr>
    <w:r>
      <w:rPr>
        <w:noProof/>
      </w:rPr>
      <mc:AlternateContent>
        <mc:Choice Requires="wps">
          <w:drawing>
            <wp:anchor distT="45720" distB="45720" distL="114300" distR="114300" simplePos="0" relativeHeight="251660800" behindDoc="0" locked="0" layoutInCell="1" allowOverlap="1" wp14:anchorId="17872ADC" wp14:editId="321D3744">
              <wp:simplePos x="0" y="0"/>
              <wp:positionH relativeFrom="column">
                <wp:posOffset>5738495</wp:posOffset>
              </wp:positionH>
              <wp:positionV relativeFrom="paragraph">
                <wp:posOffset>-135890</wp:posOffset>
              </wp:positionV>
              <wp:extent cx="8191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404620"/>
                      </a:xfrm>
                      <a:prstGeom prst="rect">
                        <a:avLst/>
                      </a:prstGeom>
                      <a:noFill/>
                      <a:ln w="9525">
                        <a:noFill/>
                        <a:miter lim="800000"/>
                        <a:headEnd/>
                        <a:tailEnd/>
                      </a:ln>
                    </wps:spPr>
                    <wps:txbx>
                      <w:txbxContent>
                        <w:p w14:paraId="2D14F997" w14:textId="76D5FFF0" w:rsidR="00FE77E3" w:rsidRPr="00FE77E3" w:rsidRDefault="00FE77E3">
                          <w:pPr>
                            <w:rPr>
                              <w:color w:val="404040" w:themeColor="text1" w:themeTint="BF"/>
                              <w:sz w:val="18"/>
                              <w:szCs w:val="16"/>
                            </w:rPr>
                          </w:pPr>
                          <w:r w:rsidRPr="00FE77E3">
                            <w:rPr>
                              <w:color w:val="404040" w:themeColor="text1" w:themeTint="BF"/>
                              <w:sz w:val="18"/>
                              <w:szCs w:val="16"/>
                            </w:rPr>
                            <w:t>Vietnamese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872ADC" id="_x0000_t202" coordsize="21600,21600" o:spt="202" path="m,l,21600r21600,l21600,xe">
              <v:stroke joinstyle="miter"/>
              <v:path gradientshapeok="t" o:connecttype="rect"/>
            </v:shapetype>
            <v:shape id="Text Box 2" o:spid="_x0000_s1026" type="#_x0000_t202" style="position:absolute;margin-left:451.85pt;margin-top:-10.7pt;width:64.5pt;height:110.6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" filled="f" stroked="f">
              <v:textbox style="mso-fit-shape-to-text:t">
                <w:txbxContent>
                  <w:p w14:paraId="2D14F997" w14:textId="76D5FFF0" w:rsidR="00FE77E3" w:rsidRPr="00FE77E3" w:rsidRDefault="00FE77E3">
                    <w:pPr>
                      <w:rPr>
                        <w:color w:val="404040" w:themeColor="text1" w:themeTint="BF"/>
                        <w:sz w:val="18"/>
                        <w:szCs w:val="16"/>
                      </w:rPr>
                    </w:pPr>
                    <w:r w:rsidRPr="00FE77E3">
                      <w:rPr>
                        <w:color w:val="404040" w:themeColor="text1" w:themeTint="BF"/>
                        <w:sz w:val="18"/>
                        <w:szCs w:val="16"/>
                      </w:rPr>
                      <w:t>Vietnamese</w:t>
                    </w:r>
                  </w:p>
                </w:txbxContent>
              </v:textbox>
              <w10:wrap type="square"/>
            </v:shape>
          </w:pict>
        </mc:Fallback>
      </mc:AlternateContent>
    </w:r>
    <w:r w:rsidR="00DD5BF0">
      <w:rPr>
        <w:noProof/>
        <w:lang w:val="vi"/>
      </w:rPr>
      <w:drawing>
        <wp:anchor distT="0" distB="0" distL="114300" distR="114300" simplePos="0" relativeHeight="251656704"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vi"/>
      </w:rPr>
      <w:drawing>
        <wp:anchor distT="0" distB="0" distL="114300" distR="114300" simplePos="0" relativeHeight="25165875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2" w15:restartNumberingAfterBreak="0">
    <w:nsid w:val="418433A8"/>
    <w:multiLevelType w:val="multilevel"/>
    <w:tmpl w:val="908CAE96"/>
    <w:numStyleLink w:val="NumberedList"/>
  </w:abstractNum>
  <w:abstractNum w:abstractNumId="13" w15:restartNumberingAfterBreak="0">
    <w:nsid w:val="6F206309"/>
    <w:multiLevelType w:val="multilevel"/>
    <w:tmpl w:val="7C98648E"/>
    <w:numStyleLink w:val="BulletedList"/>
  </w:abstractNum>
  <w:num w:numId="1" w16cid:durableId="217009249">
    <w:abstractNumId w:val="13"/>
  </w:num>
  <w:num w:numId="2" w16cid:durableId="1454444514">
    <w:abstractNumId w:val="9"/>
  </w:num>
  <w:num w:numId="3" w16cid:durableId="238053673">
    <w:abstractNumId w:val="10"/>
  </w:num>
  <w:num w:numId="4" w16cid:durableId="1258637233">
    <w:abstractNumId w:val="12"/>
  </w:num>
  <w:num w:numId="5" w16cid:durableId="503132553">
    <w:abstractNumId w:val="11"/>
  </w:num>
  <w:num w:numId="6" w16cid:durableId="1724714898">
    <w:abstractNumId w:val="7"/>
  </w:num>
  <w:num w:numId="7" w16cid:durableId="993801401">
    <w:abstractNumId w:val="6"/>
  </w:num>
  <w:num w:numId="8" w16cid:durableId="309137318">
    <w:abstractNumId w:val="5"/>
  </w:num>
  <w:num w:numId="9" w16cid:durableId="1955359344">
    <w:abstractNumId w:val="4"/>
  </w:num>
  <w:num w:numId="10" w16cid:durableId="1250502491">
    <w:abstractNumId w:val="8"/>
  </w:num>
  <w:num w:numId="11" w16cid:durableId="194925260">
    <w:abstractNumId w:val="3"/>
  </w:num>
  <w:num w:numId="12" w16cid:durableId="1316031523">
    <w:abstractNumId w:val="2"/>
  </w:num>
  <w:num w:numId="13" w16cid:durableId="739213105">
    <w:abstractNumId w:val="1"/>
  </w:num>
  <w:num w:numId="14" w16cid:durableId="862205529">
    <w:abstractNumId w:val="0"/>
  </w:num>
  <w:num w:numId="15" w16cid:durableId="1284340549">
    <w:abstractNumId w:val="13"/>
  </w:num>
  <w:num w:numId="16" w16cid:durableId="426004607">
    <w:abstractNumId w:val="9"/>
  </w:num>
  <w:num w:numId="17" w16cid:durableId="4611158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21EB7"/>
    <w:rsid w:val="00022E09"/>
    <w:rsid w:val="00041982"/>
    <w:rsid w:val="00042E65"/>
    <w:rsid w:val="00043E92"/>
    <w:rsid w:val="000441E9"/>
    <w:rsid w:val="00052680"/>
    <w:rsid w:val="000626CD"/>
    <w:rsid w:val="0007329C"/>
    <w:rsid w:val="00073C07"/>
    <w:rsid w:val="000776FB"/>
    <w:rsid w:val="00077ED0"/>
    <w:rsid w:val="00092DEE"/>
    <w:rsid w:val="000A5C8A"/>
    <w:rsid w:val="000A6D78"/>
    <w:rsid w:val="000B0131"/>
    <w:rsid w:val="000B2747"/>
    <w:rsid w:val="000B6A3E"/>
    <w:rsid w:val="000C58B8"/>
    <w:rsid w:val="000E61C9"/>
    <w:rsid w:val="000F3848"/>
    <w:rsid w:val="000F6D5A"/>
    <w:rsid w:val="00117BC1"/>
    <w:rsid w:val="00125098"/>
    <w:rsid w:val="00127DAD"/>
    <w:rsid w:val="0013587A"/>
    <w:rsid w:val="0017483D"/>
    <w:rsid w:val="00177D2D"/>
    <w:rsid w:val="00185215"/>
    <w:rsid w:val="001B2283"/>
    <w:rsid w:val="001C79C3"/>
    <w:rsid w:val="001D4434"/>
    <w:rsid w:val="001D492C"/>
    <w:rsid w:val="001E1668"/>
    <w:rsid w:val="001E62CB"/>
    <w:rsid w:val="001F63E2"/>
    <w:rsid w:val="002057F1"/>
    <w:rsid w:val="00237DA1"/>
    <w:rsid w:val="00250BF2"/>
    <w:rsid w:val="002715EE"/>
    <w:rsid w:val="002771D2"/>
    <w:rsid w:val="002964D2"/>
    <w:rsid w:val="00297C14"/>
    <w:rsid w:val="002D49E6"/>
    <w:rsid w:val="002E0306"/>
    <w:rsid w:val="002E3D4D"/>
    <w:rsid w:val="002E7F90"/>
    <w:rsid w:val="002F01CD"/>
    <w:rsid w:val="002F49DF"/>
    <w:rsid w:val="00303358"/>
    <w:rsid w:val="003152E0"/>
    <w:rsid w:val="00316604"/>
    <w:rsid w:val="0031727B"/>
    <w:rsid w:val="003257AC"/>
    <w:rsid w:val="003403BB"/>
    <w:rsid w:val="00365B17"/>
    <w:rsid w:val="00376020"/>
    <w:rsid w:val="00380413"/>
    <w:rsid w:val="00381218"/>
    <w:rsid w:val="00383E16"/>
    <w:rsid w:val="00390D50"/>
    <w:rsid w:val="00392C1D"/>
    <w:rsid w:val="00396551"/>
    <w:rsid w:val="00397F0C"/>
    <w:rsid w:val="003A1CC6"/>
    <w:rsid w:val="003B56AB"/>
    <w:rsid w:val="003C3383"/>
    <w:rsid w:val="003C7215"/>
    <w:rsid w:val="003E7296"/>
    <w:rsid w:val="004103B9"/>
    <w:rsid w:val="00414D84"/>
    <w:rsid w:val="0042142B"/>
    <w:rsid w:val="00424303"/>
    <w:rsid w:val="004245B2"/>
    <w:rsid w:val="00440775"/>
    <w:rsid w:val="0044231C"/>
    <w:rsid w:val="004457C7"/>
    <w:rsid w:val="0045201C"/>
    <w:rsid w:val="004661A2"/>
    <w:rsid w:val="00466E52"/>
    <w:rsid w:val="004A2133"/>
    <w:rsid w:val="004B06B1"/>
    <w:rsid w:val="004C6818"/>
    <w:rsid w:val="004D0B2E"/>
    <w:rsid w:val="0050052A"/>
    <w:rsid w:val="005007C0"/>
    <w:rsid w:val="005045E0"/>
    <w:rsid w:val="00566FE9"/>
    <w:rsid w:val="00567D4C"/>
    <w:rsid w:val="005728CD"/>
    <w:rsid w:val="005A1925"/>
    <w:rsid w:val="005B118D"/>
    <w:rsid w:val="005B2D97"/>
    <w:rsid w:val="005D0F5C"/>
    <w:rsid w:val="005E1145"/>
    <w:rsid w:val="005E1703"/>
    <w:rsid w:val="005E7D74"/>
    <w:rsid w:val="0060579B"/>
    <w:rsid w:val="00620FC1"/>
    <w:rsid w:val="00633068"/>
    <w:rsid w:val="0065350E"/>
    <w:rsid w:val="0066015D"/>
    <w:rsid w:val="0066581B"/>
    <w:rsid w:val="0066616A"/>
    <w:rsid w:val="006723BD"/>
    <w:rsid w:val="006926AB"/>
    <w:rsid w:val="00694952"/>
    <w:rsid w:val="0069523A"/>
    <w:rsid w:val="006A1BE6"/>
    <w:rsid w:val="006A3C91"/>
    <w:rsid w:val="006B214C"/>
    <w:rsid w:val="006D0BC0"/>
    <w:rsid w:val="006F639D"/>
    <w:rsid w:val="00733C11"/>
    <w:rsid w:val="007343DF"/>
    <w:rsid w:val="007358C4"/>
    <w:rsid w:val="00753103"/>
    <w:rsid w:val="007657C5"/>
    <w:rsid w:val="007761FB"/>
    <w:rsid w:val="00783AC6"/>
    <w:rsid w:val="00786BF1"/>
    <w:rsid w:val="007875ED"/>
    <w:rsid w:val="007A58C0"/>
    <w:rsid w:val="007A782B"/>
    <w:rsid w:val="007F30C7"/>
    <w:rsid w:val="0080285D"/>
    <w:rsid w:val="008250E2"/>
    <w:rsid w:val="00840EFA"/>
    <w:rsid w:val="00843E30"/>
    <w:rsid w:val="00845C58"/>
    <w:rsid w:val="0085098E"/>
    <w:rsid w:val="008626AA"/>
    <w:rsid w:val="008631A5"/>
    <w:rsid w:val="0088584D"/>
    <w:rsid w:val="00886E6E"/>
    <w:rsid w:val="008911E4"/>
    <w:rsid w:val="00895CEF"/>
    <w:rsid w:val="008A1F74"/>
    <w:rsid w:val="008A7361"/>
    <w:rsid w:val="008B02EB"/>
    <w:rsid w:val="008D7EFC"/>
    <w:rsid w:val="008E6F71"/>
    <w:rsid w:val="00916AF7"/>
    <w:rsid w:val="009239C6"/>
    <w:rsid w:val="009261FF"/>
    <w:rsid w:val="00944008"/>
    <w:rsid w:val="00944EB7"/>
    <w:rsid w:val="0095620D"/>
    <w:rsid w:val="009567D2"/>
    <w:rsid w:val="00967403"/>
    <w:rsid w:val="00976958"/>
    <w:rsid w:val="00992BCE"/>
    <w:rsid w:val="009F7FE4"/>
    <w:rsid w:val="00A10BB8"/>
    <w:rsid w:val="00A26AEF"/>
    <w:rsid w:val="00A35095"/>
    <w:rsid w:val="00A4148E"/>
    <w:rsid w:val="00A43B6C"/>
    <w:rsid w:val="00A44533"/>
    <w:rsid w:val="00A54E0A"/>
    <w:rsid w:val="00A64252"/>
    <w:rsid w:val="00A64930"/>
    <w:rsid w:val="00A66AAD"/>
    <w:rsid w:val="00A759C6"/>
    <w:rsid w:val="00A8272B"/>
    <w:rsid w:val="00AA413D"/>
    <w:rsid w:val="00AB4166"/>
    <w:rsid w:val="00AC269B"/>
    <w:rsid w:val="00AC641B"/>
    <w:rsid w:val="00AE57C0"/>
    <w:rsid w:val="00AF71AF"/>
    <w:rsid w:val="00B06BD2"/>
    <w:rsid w:val="00B13255"/>
    <w:rsid w:val="00B143E6"/>
    <w:rsid w:val="00B174C0"/>
    <w:rsid w:val="00B17C7F"/>
    <w:rsid w:val="00B25456"/>
    <w:rsid w:val="00B374A9"/>
    <w:rsid w:val="00B54143"/>
    <w:rsid w:val="00B544BA"/>
    <w:rsid w:val="00B56A6C"/>
    <w:rsid w:val="00B6170F"/>
    <w:rsid w:val="00B669D2"/>
    <w:rsid w:val="00B90E8D"/>
    <w:rsid w:val="00B929DA"/>
    <w:rsid w:val="00BA12A1"/>
    <w:rsid w:val="00BD0B3B"/>
    <w:rsid w:val="00BE5969"/>
    <w:rsid w:val="00C011D5"/>
    <w:rsid w:val="00C106E2"/>
    <w:rsid w:val="00C16C27"/>
    <w:rsid w:val="00C35BA3"/>
    <w:rsid w:val="00C46C7A"/>
    <w:rsid w:val="00C76B4B"/>
    <w:rsid w:val="00C77A2C"/>
    <w:rsid w:val="00C800E3"/>
    <w:rsid w:val="00C84C21"/>
    <w:rsid w:val="00C96238"/>
    <w:rsid w:val="00CA0BE1"/>
    <w:rsid w:val="00CA7565"/>
    <w:rsid w:val="00CB081C"/>
    <w:rsid w:val="00CB46BF"/>
    <w:rsid w:val="00CD3045"/>
    <w:rsid w:val="00CE19F1"/>
    <w:rsid w:val="00D000C5"/>
    <w:rsid w:val="00D14913"/>
    <w:rsid w:val="00D21BAC"/>
    <w:rsid w:val="00D30C69"/>
    <w:rsid w:val="00D40239"/>
    <w:rsid w:val="00D544F4"/>
    <w:rsid w:val="00D65750"/>
    <w:rsid w:val="00D846C7"/>
    <w:rsid w:val="00D904A2"/>
    <w:rsid w:val="00DA1B75"/>
    <w:rsid w:val="00DB2889"/>
    <w:rsid w:val="00DB3088"/>
    <w:rsid w:val="00DC188E"/>
    <w:rsid w:val="00DD5BF0"/>
    <w:rsid w:val="00DE3892"/>
    <w:rsid w:val="00E140E6"/>
    <w:rsid w:val="00E17418"/>
    <w:rsid w:val="00E3357D"/>
    <w:rsid w:val="00E420D5"/>
    <w:rsid w:val="00E43656"/>
    <w:rsid w:val="00E52115"/>
    <w:rsid w:val="00E53698"/>
    <w:rsid w:val="00E55C69"/>
    <w:rsid w:val="00E643C2"/>
    <w:rsid w:val="00E658DE"/>
    <w:rsid w:val="00E71C01"/>
    <w:rsid w:val="00E8029E"/>
    <w:rsid w:val="00E853BD"/>
    <w:rsid w:val="00E92534"/>
    <w:rsid w:val="00E9357B"/>
    <w:rsid w:val="00E95CBA"/>
    <w:rsid w:val="00E977D2"/>
    <w:rsid w:val="00EB5069"/>
    <w:rsid w:val="00EB7800"/>
    <w:rsid w:val="00ED3AB9"/>
    <w:rsid w:val="00EF20B0"/>
    <w:rsid w:val="00F0060B"/>
    <w:rsid w:val="00F105A5"/>
    <w:rsid w:val="00F22678"/>
    <w:rsid w:val="00F24F5D"/>
    <w:rsid w:val="00F4033E"/>
    <w:rsid w:val="00F50F29"/>
    <w:rsid w:val="00F539D8"/>
    <w:rsid w:val="00F6628D"/>
    <w:rsid w:val="00F8161E"/>
    <w:rsid w:val="00F84DE1"/>
    <w:rsid w:val="00F926A5"/>
    <w:rsid w:val="00FA03FB"/>
    <w:rsid w:val="00FA1899"/>
    <w:rsid w:val="00FA771C"/>
    <w:rsid w:val="00FB6D45"/>
    <w:rsid w:val="00FC4262"/>
    <w:rsid w:val="00FC6FAE"/>
    <w:rsid w:val="00FD1859"/>
    <w:rsid w:val="00FD35A7"/>
    <w:rsid w:val="00FE0C8C"/>
    <w:rsid w:val="00FE62C8"/>
    <w:rsid w:val="00FE77E3"/>
    <w:rsid w:val="00FE7865"/>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430D6B66-C721-4AF5-AD2B-599D0831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Revision">
    <w:name w:val="Revision"/>
    <w:hidden/>
    <w:uiPriority w:val="99"/>
    <w:semiHidden/>
    <w:rsid w:val="00D904A2"/>
    <w:pPr>
      <w:spacing w:after="0" w:line="240" w:lineRule="auto"/>
    </w:pPr>
    <w:rPr>
      <w:rFonts w:ascii="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363BFE"/>
    <w:rsid w:val="003F43C2"/>
    <w:rsid w:val="00462B0A"/>
    <w:rsid w:val="004C60B5"/>
    <w:rsid w:val="00702A54"/>
    <w:rsid w:val="00716BF8"/>
    <w:rsid w:val="00991E2F"/>
    <w:rsid w:val="00A4148E"/>
    <w:rsid w:val="00BD046A"/>
    <w:rsid w:val="00D000C5"/>
    <w:rsid w:val="00E52115"/>
    <w:rsid w:val="00EE7CC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F8"/>
    <w:rPr>
      <w:color w:val="808080"/>
    </w:rPr>
  </w:style>
  <w:style w:type="paragraph" w:customStyle="1" w:styleId="F8B875216C6B405EBCA8EF1ABC543866">
    <w:name w:val="F8B875216C6B405EBCA8EF1ABC543866"/>
    <w:rsid w:val="00716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9C805-7AD8-4979-B0A9-EB9EF31354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7053F7-ABBB-4A18-BCAA-F847C4806A7D}">
  <ds:schemaRefs>
    <ds:schemaRef ds:uri="http://schemas.microsoft.com/sharepoint/v3/contenttype/forms"/>
  </ds:schemaRefs>
</ds:datastoreItem>
</file>

<file path=customXml/itemProps3.xml><?xml version="1.0" encoding="utf-8"?>
<ds:datastoreItem xmlns:ds="http://schemas.openxmlformats.org/officeDocument/2006/customXml" ds:itemID="{729D6AE3-7803-48A7-9BBE-6EED8D9030D4}"/>
</file>

<file path=customXml/itemProps4.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William Russell</cp:lastModifiedBy>
  <cp:revision>5</cp:revision>
  <dcterms:created xsi:type="dcterms:W3CDTF">2025-02-18T03:29:00Z</dcterms:created>
  <dcterms:modified xsi:type="dcterms:W3CDTF">2025-04-09T02:13:00Z</dcterms:modified>
  <cp:contentStatus>D24/0256674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6800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