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77907" w14:textId="77777777" w:rsidR="00B25456" w:rsidRPr="00914EFD" w:rsidRDefault="00F926A5" w:rsidP="00733C11">
      <w:pPr>
        <w:pStyle w:val="Title"/>
        <w:rPr>
          <w:rFonts w:asciiTheme="minorEastAsia" w:eastAsiaTheme="minorEastAsia" w:hAnsiTheme="minorEastAsia"/>
          <w:bCs/>
          <w:lang w:eastAsia="zh-CN"/>
        </w:rPr>
      </w:pPr>
      <w:bookmarkStart w:id="0" w:name="_Hlk103166844"/>
      <w:bookmarkStart w:id="1" w:name="_Toc84334888"/>
      <w:r w:rsidRPr="00914EFD">
        <w:rPr>
          <w:rFonts w:asciiTheme="minorEastAsia" w:eastAsiaTheme="minorEastAsia" w:hAnsiTheme="minorEastAsia"/>
          <w:bCs/>
          <w:lang w:eastAsia="zh-CN"/>
        </w:rPr>
        <w:t>为11和12年级学生做出选择</w:t>
      </w:r>
    </w:p>
    <w:p w14:paraId="0D8B47A9" w14:textId="34D8B4A9" w:rsidR="00F926A5" w:rsidRPr="00914EFD" w:rsidRDefault="00F926A5" w:rsidP="00733C11">
      <w:pPr>
        <w:pStyle w:val="Title"/>
        <w:rPr>
          <w:rFonts w:asciiTheme="minorEastAsia" w:eastAsiaTheme="minorEastAsia" w:hAnsiTheme="minorEastAsia"/>
          <w:bCs/>
          <w:lang w:eastAsia="zh-CN"/>
        </w:rPr>
      </w:pPr>
      <w:r w:rsidRPr="00914EFD">
        <w:rPr>
          <w:rFonts w:asciiTheme="minorEastAsia" w:eastAsiaTheme="minorEastAsia" w:hAnsiTheme="minorEastAsia"/>
          <w:bCs/>
          <w:color w:val="auto"/>
          <w:sz w:val="36"/>
          <w:szCs w:val="36"/>
          <w:lang w:eastAsia="zh-CN"/>
        </w:rPr>
        <w:t>给家长和照护者的信息</w:t>
      </w:r>
    </w:p>
    <w:bookmarkEnd w:id="0"/>
    <w:bookmarkEnd w:id="1"/>
    <w:p w14:paraId="02C42707" w14:textId="07912C4E" w:rsidR="00F926A5" w:rsidRPr="00914EFD" w:rsidRDefault="00F926A5" w:rsidP="00A10BB8">
      <w:pPr>
        <w:widowControl w:val="0"/>
        <w:autoSpaceDE w:val="0"/>
        <w:autoSpaceDN w:val="0"/>
        <w:spacing w:before="209"/>
        <w:ind w:right="166"/>
        <w:rPr>
          <w:rFonts w:asciiTheme="minorEastAsia" w:hAnsiTheme="minorEastAsia"/>
          <w:szCs w:val="22"/>
          <w:lang w:eastAsia="zh-CN"/>
        </w:rPr>
      </w:pPr>
      <w:r w:rsidRPr="00914EFD">
        <w:rPr>
          <w:rFonts w:asciiTheme="minorEastAsia" w:hAnsiTheme="minorEastAsia"/>
          <w:szCs w:val="22"/>
          <w:lang w:eastAsia="zh-CN"/>
        </w:rPr>
        <w:t>学生可能希望进入大学深造，或心中已有特定的职业目标，需要接受进一步的教育和培训，或计划在离校后直接进入职场。对于11和12年级的学生来说，有多种选择可提供通往大学、培训及就业的多条路径。</w:t>
      </w:r>
    </w:p>
    <w:p w14:paraId="3A19F86E" w14:textId="77777777" w:rsidR="00F926A5" w:rsidRPr="00914EFD" w:rsidRDefault="00F926A5" w:rsidP="00F926A5">
      <w:pPr>
        <w:widowControl w:val="0"/>
        <w:autoSpaceDE w:val="0"/>
        <w:autoSpaceDN w:val="0"/>
        <w:spacing w:before="1"/>
        <w:rPr>
          <w:rFonts w:asciiTheme="minorEastAsia" w:hAnsiTheme="minorEastAsia"/>
          <w:szCs w:val="22"/>
          <w:lang w:eastAsia="zh-CN"/>
        </w:rPr>
      </w:pPr>
    </w:p>
    <w:p w14:paraId="115C7958" w14:textId="6FC1600B" w:rsidR="00F926A5" w:rsidRPr="00914EFD" w:rsidRDefault="00F926A5" w:rsidP="00A10BB8">
      <w:pPr>
        <w:widowControl w:val="0"/>
        <w:autoSpaceDE w:val="0"/>
        <w:autoSpaceDN w:val="0"/>
        <w:rPr>
          <w:rFonts w:asciiTheme="minorEastAsia" w:hAnsiTheme="minorEastAsia"/>
          <w:b/>
          <w:color w:val="592C82"/>
          <w:sz w:val="26"/>
          <w:szCs w:val="22"/>
          <w:lang w:eastAsia="zh-CN"/>
        </w:rPr>
      </w:pPr>
      <w:r w:rsidRPr="00914EFD">
        <w:rPr>
          <w:rFonts w:asciiTheme="minorEastAsia" w:hAnsiTheme="minorEastAsia"/>
          <w:b/>
          <w:bCs/>
          <w:color w:val="592C82"/>
          <w:sz w:val="26"/>
          <w:szCs w:val="22"/>
          <w:lang w:eastAsia="zh-CN"/>
        </w:rPr>
        <w:t>11与12年级学生课程与学习计划的选项</w:t>
      </w:r>
    </w:p>
    <w:p w14:paraId="0EF80CEA" w14:textId="77777777" w:rsidR="005007C0" w:rsidRPr="00914EFD" w:rsidRDefault="005007C0" w:rsidP="005007C0">
      <w:pPr>
        <w:rPr>
          <w:rFonts w:asciiTheme="minorEastAsia" w:hAnsiTheme="minorEastAsia"/>
          <w:lang w:eastAsia="zh-CN"/>
        </w:rPr>
      </w:pPr>
    </w:p>
    <w:tbl>
      <w:tblPr>
        <w:tblStyle w:val="DOETable1"/>
        <w:tblW w:w="9069" w:type="dxa"/>
        <w:tblLook w:val="04A0" w:firstRow="1" w:lastRow="0" w:firstColumn="1" w:lastColumn="0" w:noHBand="0" w:noVBand="1"/>
      </w:tblPr>
      <w:tblGrid>
        <w:gridCol w:w="1696"/>
        <w:gridCol w:w="7373"/>
      </w:tblGrid>
      <w:tr w:rsidR="005007C0" w:rsidRPr="00914EFD" w14:paraId="5756009C" w14:textId="77777777" w:rsidTr="005007C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hideMark/>
          </w:tcPr>
          <w:p w14:paraId="5D142713" w14:textId="3D76CDF8" w:rsidR="005007C0" w:rsidRPr="00914EFD" w:rsidRDefault="00F926A5">
            <w:pPr>
              <w:rPr>
                <w:rFonts w:asciiTheme="minorEastAsia" w:hAnsiTheme="minorEastAsia"/>
              </w:rPr>
            </w:pPr>
            <w:r w:rsidRPr="00914EFD">
              <w:rPr>
                <w:rFonts w:asciiTheme="minorEastAsia" w:hAnsiTheme="minorEastAsia"/>
                <w:lang w:eastAsia="zh-CN"/>
              </w:rPr>
              <w:t>选项</w:t>
            </w:r>
          </w:p>
        </w:tc>
        <w:tc>
          <w:tcPr>
            <w:tcW w:w="7373" w:type="dxa"/>
            <w:hideMark/>
          </w:tcPr>
          <w:p w14:paraId="692BFB56" w14:textId="77777777" w:rsidR="005007C0" w:rsidRPr="00914EFD" w:rsidRDefault="005007C0">
            <w:pPr>
              <w:cnfStyle w:val="100000000000" w:firstRow="1" w:lastRow="0" w:firstColumn="0" w:lastColumn="0" w:oddVBand="0" w:evenVBand="0" w:oddHBand="0" w:evenHBand="0" w:firstRowFirstColumn="0" w:firstRowLastColumn="0" w:lastRowFirstColumn="0" w:lastRowLastColumn="0"/>
              <w:rPr>
                <w:rFonts w:asciiTheme="minorEastAsia" w:hAnsiTheme="minorEastAsia"/>
              </w:rPr>
            </w:pPr>
            <w:r w:rsidRPr="00914EFD">
              <w:rPr>
                <w:rFonts w:asciiTheme="minorEastAsia" w:hAnsiTheme="minorEastAsia"/>
                <w:lang w:eastAsia="zh-CN"/>
              </w:rPr>
              <w:t>描述</w:t>
            </w:r>
          </w:p>
        </w:tc>
      </w:tr>
      <w:tr w:rsidR="005007C0" w:rsidRPr="00914EFD" w14:paraId="44481792" w14:textId="77777777" w:rsidTr="005E7D74">
        <w:trPr>
          <w:trHeight w:val="162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9624FDE" w14:textId="326087C9" w:rsidR="005007C0" w:rsidRPr="00914EFD" w:rsidRDefault="00F926A5" w:rsidP="00D904A2">
            <w:pPr>
              <w:rPr>
                <w:rFonts w:asciiTheme="minorEastAsia" w:hAnsiTheme="minorEastAsia"/>
                <w:lang w:eastAsia="zh-CN"/>
              </w:rPr>
            </w:pPr>
            <w:r w:rsidRPr="00914EFD">
              <w:rPr>
                <w:rFonts w:asciiTheme="minorEastAsia" w:hAnsiTheme="minorEastAsia"/>
                <w:lang w:eastAsia="zh-CN"/>
              </w:rPr>
              <w:t>ATAR</w:t>
            </w:r>
            <w:r w:rsidR="00914EFD">
              <w:rPr>
                <w:rFonts w:asciiTheme="minorEastAsia" w:hAnsiTheme="minorEastAsia" w:hint="eastAsia"/>
                <w:lang w:eastAsia="zh-CN"/>
              </w:rPr>
              <w:t xml:space="preserve"> （</w:t>
            </w:r>
            <w:r w:rsidRPr="00914EFD">
              <w:rPr>
                <w:rFonts w:asciiTheme="minorEastAsia" w:hAnsiTheme="minorEastAsia"/>
                <w:lang w:eastAsia="zh-CN"/>
              </w:rPr>
              <w:t>澳大利亚高等教育入学排名）课程</w:t>
            </w:r>
          </w:p>
        </w:tc>
        <w:tc>
          <w:tcPr>
            <w:tcW w:w="0" w:type="dxa"/>
            <w:vAlign w:val="center"/>
            <w:hideMark/>
          </w:tcPr>
          <w:p w14:paraId="6B9EC067" w14:textId="6019E3FE" w:rsidR="00DB2889" w:rsidRPr="00914EFD"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spacing w:val="-2"/>
                <w:lang w:eastAsia="zh-CN"/>
              </w:rPr>
            </w:pPr>
            <w:r w:rsidRPr="00914EFD">
              <w:rPr>
                <w:rFonts w:asciiTheme="minorEastAsia" w:hAnsiTheme="minorEastAsia"/>
                <w:lang w:eastAsia="zh-CN"/>
              </w:rPr>
              <w:t>澳大利亚高等教育入学排名（ATAR） 课程通常以学术为导向。有意获得 ATAR 成绩的学生需至少完成 4 门 12 年级 ATAR 课程。虽然这类课程主要用于申请大学，但同样为学生毕业后的其他发展途径（如职业培训）提供了坚实的基础。</w:t>
            </w:r>
          </w:p>
        </w:tc>
      </w:tr>
      <w:tr w:rsidR="005007C0" w:rsidRPr="00914EFD" w14:paraId="7EB3A465" w14:textId="77777777" w:rsidTr="005E7D74">
        <w:trPr>
          <w:cnfStyle w:val="000000010000" w:firstRow="0" w:lastRow="0" w:firstColumn="0" w:lastColumn="0" w:oddVBand="0" w:evenVBand="0" w:oddHBand="0" w:evenHBand="1" w:firstRowFirstColumn="0" w:firstRowLastColumn="0" w:lastRowFirstColumn="0" w:lastRowLastColumn="0"/>
          <w:trHeight w:val="210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CBD0219" w14:textId="6565E428" w:rsidR="005007C0" w:rsidRPr="00914EFD" w:rsidRDefault="00F926A5" w:rsidP="00D904A2">
            <w:pPr>
              <w:rPr>
                <w:rFonts w:asciiTheme="minorEastAsia" w:hAnsiTheme="minorEastAsia" w:hint="eastAsia"/>
              </w:rPr>
            </w:pPr>
            <w:r w:rsidRPr="00914EFD">
              <w:rPr>
                <w:rFonts w:asciiTheme="minorEastAsia" w:hAnsiTheme="minorEastAsia"/>
                <w:lang w:eastAsia="zh-CN"/>
              </w:rPr>
              <w:t>普通课程</w:t>
            </w:r>
            <w:r w:rsidR="00914EFD">
              <w:rPr>
                <w:rFonts w:asciiTheme="minorEastAsia" w:hAnsiTheme="minorEastAsia" w:hint="eastAsia"/>
                <w:lang w:eastAsia="zh-CN"/>
              </w:rPr>
              <w:t>(</w:t>
            </w:r>
            <w:r w:rsidRPr="00914EFD">
              <w:rPr>
                <w:rFonts w:asciiTheme="minorEastAsia" w:hAnsiTheme="minorEastAsia"/>
                <w:lang w:eastAsia="zh-CN"/>
              </w:rPr>
              <w:t>General Courses</w:t>
            </w:r>
            <w:r w:rsidR="00914EFD">
              <w:rPr>
                <w:rFonts w:asciiTheme="minorEastAsia" w:hAnsiTheme="minorEastAsia" w:hint="eastAsia"/>
                <w:lang w:eastAsia="zh-CN"/>
              </w:rPr>
              <w:t>)</w:t>
            </w:r>
          </w:p>
        </w:tc>
        <w:tc>
          <w:tcPr>
            <w:tcW w:w="0" w:type="dxa"/>
            <w:vAlign w:val="center"/>
            <w:hideMark/>
          </w:tcPr>
          <w:p w14:paraId="1A064C8E" w14:textId="520756AC" w:rsidR="00DB2889" w:rsidRPr="00914EFD"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lang w:eastAsia="zh-CN"/>
              </w:rPr>
            </w:pPr>
            <w:r w:rsidRPr="00914EFD">
              <w:rPr>
                <w:rFonts w:asciiTheme="minorEastAsia" w:hAnsiTheme="minorEastAsia"/>
                <w:lang w:eastAsia="zh-CN"/>
              </w:rPr>
              <w:t>普通课程主要面向那些计划毕业后进入职业培训或直接就业的学生。与 ATAR 课程不同，普通课程没有外部统考，但在 12 年级设有一项强制性的外部评估任务，占学生总评估成绩的 15%。部分普通课程还可以作为进入某些大学课程的替代或辅助入学途径，为学生提供更多灵活的升学途径。</w:t>
            </w:r>
          </w:p>
        </w:tc>
      </w:tr>
      <w:tr w:rsidR="005007C0" w:rsidRPr="00914EFD" w14:paraId="2AF37302" w14:textId="77777777" w:rsidTr="005E7D74">
        <w:trPr>
          <w:trHeight w:val="23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4CB6BB77" w14:textId="31A1BC82" w:rsidR="005007C0" w:rsidRPr="00914EFD" w:rsidRDefault="00F926A5" w:rsidP="00D904A2">
            <w:pPr>
              <w:rPr>
                <w:rFonts w:asciiTheme="minorEastAsia" w:hAnsiTheme="minorEastAsia" w:hint="eastAsia"/>
              </w:rPr>
            </w:pPr>
            <w:r w:rsidRPr="00914EFD">
              <w:rPr>
                <w:rFonts w:asciiTheme="minorEastAsia" w:hAnsiTheme="minorEastAsia"/>
                <w:lang w:eastAsia="zh-CN"/>
              </w:rPr>
              <w:t>基础课程</w:t>
            </w:r>
            <w:r w:rsidR="00914EFD">
              <w:rPr>
                <w:rFonts w:asciiTheme="minorEastAsia" w:hAnsiTheme="minorEastAsia" w:hint="eastAsia"/>
                <w:lang w:eastAsia="zh-CN"/>
              </w:rPr>
              <w:t>(</w:t>
            </w:r>
            <w:r w:rsidRPr="00914EFD">
              <w:rPr>
                <w:rFonts w:asciiTheme="minorEastAsia" w:hAnsiTheme="minorEastAsia"/>
                <w:lang w:eastAsia="zh-CN"/>
              </w:rPr>
              <w:t>Foundation Courses</w:t>
            </w:r>
            <w:r w:rsidR="00914EFD">
              <w:rPr>
                <w:rFonts w:asciiTheme="minorEastAsia" w:hAnsiTheme="minorEastAsia" w:hint="eastAsia"/>
                <w:lang w:eastAsia="zh-CN"/>
              </w:rPr>
              <w:t>)</w:t>
            </w:r>
          </w:p>
        </w:tc>
        <w:tc>
          <w:tcPr>
            <w:tcW w:w="0" w:type="dxa"/>
            <w:vAlign w:val="center"/>
            <w:hideMark/>
          </w:tcPr>
          <w:p w14:paraId="639E94E6" w14:textId="0A3A1D83" w:rsidR="00F926A5" w:rsidRPr="00914EFD"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lang w:eastAsia="zh-CN"/>
              </w:rPr>
            </w:pPr>
            <w:r w:rsidRPr="00914EFD">
              <w:rPr>
                <w:rFonts w:asciiTheme="minorEastAsia" w:hAnsiTheme="minorEastAsia"/>
                <w:lang w:eastAsia="zh-CN"/>
              </w:rPr>
              <w:t>基础课程专为在 12 年级结束前需要辅助支持以达成最低读写与算数素养标准的学生而设计。课程重点在于提升实用的读写与算数技能、提供与工作相关的实践经验，以及培养对生活与职场重要的个人能力。</w:t>
            </w:r>
          </w:p>
          <w:p w14:paraId="194298FA" w14:textId="648AA68A" w:rsidR="00DB2889" w:rsidRPr="00914EFD"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lang w:eastAsia="zh-CN"/>
              </w:rPr>
            </w:pPr>
            <w:r w:rsidRPr="00914EFD">
              <w:rPr>
                <w:rFonts w:asciiTheme="minorEastAsia" w:hAnsiTheme="minorEastAsia"/>
                <w:lang w:eastAsia="zh-CN"/>
              </w:rPr>
              <w:t>基础课程不设考试，但在 12 年级需要完成一项强制性的外部评估任务，占该课程校本评估成绩的 15</w:t>
            </w:r>
            <w:r w:rsidR="00914EFD">
              <w:rPr>
                <w:rFonts w:asciiTheme="minorEastAsia" w:hAnsiTheme="minorEastAsia" w:hint="eastAsia"/>
                <w:lang w:eastAsia="zh-CN"/>
              </w:rPr>
              <w:t>%</w:t>
            </w:r>
            <w:r w:rsidRPr="00914EFD">
              <w:rPr>
                <w:rFonts w:asciiTheme="minorEastAsia" w:hAnsiTheme="minorEastAsia"/>
                <w:lang w:eastAsia="zh-CN"/>
              </w:rPr>
              <w:t>。</w:t>
            </w:r>
          </w:p>
        </w:tc>
      </w:tr>
      <w:tr w:rsidR="005007C0" w:rsidRPr="00914EFD" w14:paraId="45D7644D" w14:textId="77777777" w:rsidTr="005E7D74">
        <w:trPr>
          <w:cnfStyle w:val="000000010000" w:firstRow="0" w:lastRow="0" w:firstColumn="0" w:lastColumn="0" w:oddVBand="0" w:evenVBand="0" w:oddHBand="0" w:evenHBand="1" w:firstRowFirstColumn="0" w:firstRowLastColumn="0" w:lastRowFirstColumn="0" w:lastRowLastColumn="0"/>
          <w:trHeight w:val="1378"/>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89FB8E8" w14:textId="77777777" w:rsidR="00914EFD" w:rsidRDefault="00F926A5" w:rsidP="00D904A2">
            <w:pPr>
              <w:rPr>
                <w:rFonts w:asciiTheme="minorEastAsia" w:hAnsiTheme="minorEastAsia"/>
                <w:b w:val="0"/>
                <w:bCs w:val="0"/>
                <w:lang w:eastAsia="zh-CN"/>
              </w:rPr>
            </w:pPr>
            <w:r w:rsidRPr="00914EFD">
              <w:rPr>
                <w:rFonts w:asciiTheme="minorEastAsia" w:hAnsiTheme="minorEastAsia"/>
                <w:lang w:eastAsia="zh-CN"/>
              </w:rPr>
              <w:t>职业教育与培训资质</w:t>
            </w:r>
          </w:p>
          <w:p w14:paraId="588FD271" w14:textId="76A1CF6E" w:rsidR="005007C0" w:rsidRPr="00914EFD" w:rsidRDefault="00914EFD" w:rsidP="00D904A2">
            <w:pPr>
              <w:rPr>
                <w:rFonts w:asciiTheme="minorEastAsia" w:hAnsiTheme="minorEastAsia" w:hint="eastAsia"/>
              </w:rPr>
            </w:pPr>
            <w:r>
              <w:rPr>
                <w:rFonts w:asciiTheme="minorEastAsia" w:hAnsiTheme="minorEastAsia" w:hint="eastAsia"/>
                <w:lang w:eastAsia="zh-CN"/>
              </w:rPr>
              <w:t>(</w:t>
            </w:r>
            <w:r w:rsidR="00F926A5" w:rsidRPr="00914EFD">
              <w:rPr>
                <w:rFonts w:asciiTheme="minorEastAsia" w:hAnsiTheme="minorEastAsia"/>
                <w:lang w:eastAsia="zh-CN"/>
              </w:rPr>
              <w:t>VET Qualification</w:t>
            </w:r>
            <w:r>
              <w:rPr>
                <w:rFonts w:asciiTheme="minorEastAsia" w:hAnsiTheme="minorEastAsia" w:hint="eastAsia"/>
                <w:lang w:eastAsia="zh-CN"/>
              </w:rPr>
              <w:t>s)</w:t>
            </w:r>
          </w:p>
        </w:tc>
        <w:tc>
          <w:tcPr>
            <w:tcW w:w="0" w:type="dxa"/>
            <w:vAlign w:val="center"/>
            <w:hideMark/>
          </w:tcPr>
          <w:p w14:paraId="2089142A" w14:textId="3D91EB93" w:rsidR="00DB2889" w:rsidRPr="00914EFD"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lang w:eastAsia="zh-CN"/>
              </w:rPr>
            </w:pPr>
            <w:r w:rsidRPr="00914EFD">
              <w:rPr>
                <w:rFonts w:asciiTheme="minorEastAsia" w:hAnsiTheme="minorEastAsia"/>
                <w:lang w:eastAsia="zh-CN"/>
              </w:rPr>
              <w:t>学生可完成一项全国认可的职业教育与培训（VET）资格课程。VET 为（学生）培养工作场所所需的技能和知识。学生可以将 VET 资质计入获得西澳大利亚教育证书（WACE）所需的成绩。</w:t>
            </w:r>
          </w:p>
        </w:tc>
      </w:tr>
    </w:tbl>
    <w:p w14:paraId="353A5361" w14:textId="199D8AAE" w:rsidR="00AB4166" w:rsidRPr="00914EFD" w:rsidRDefault="00AB4166">
      <w:pPr>
        <w:rPr>
          <w:rFonts w:asciiTheme="minorEastAsia" w:hAnsiTheme="minorEastAsia"/>
          <w:lang w:eastAsia="zh-CN"/>
        </w:rPr>
      </w:pPr>
    </w:p>
    <w:tbl>
      <w:tblPr>
        <w:tblStyle w:val="DOETable1"/>
        <w:tblW w:w="9069" w:type="dxa"/>
        <w:tblLook w:val="0480" w:firstRow="0" w:lastRow="0" w:firstColumn="1" w:lastColumn="0" w:noHBand="0" w:noVBand="1"/>
      </w:tblPr>
      <w:tblGrid>
        <w:gridCol w:w="1696"/>
        <w:gridCol w:w="7373"/>
      </w:tblGrid>
      <w:tr w:rsidR="005007C0" w:rsidRPr="00914EFD" w14:paraId="7604C42F" w14:textId="77777777" w:rsidTr="005E7D74">
        <w:trPr>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6474BD92" w14:textId="77777777" w:rsidR="00914EFD" w:rsidRDefault="00F926A5" w:rsidP="00567D4C">
            <w:pPr>
              <w:rPr>
                <w:rFonts w:asciiTheme="minorEastAsia" w:hAnsiTheme="minorEastAsia"/>
                <w:b w:val="0"/>
                <w:bCs w:val="0"/>
                <w:lang w:eastAsia="zh-CN"/>
              </w:rPr>
            </w:pPr>
            <w:r w:rsidRPr="00914EFD">
              <w:rPr>
                <w:rFonts w:asciiTheme="minorEastAsia" w:hAnsiTheme="minorEastAsia"/>
                <w:lang w:eastAsia="zh-CN"/>
              </w:rPr>
              <w:t>受认可的学习计划</w:t>
            </w:r>
          </w:p>
          <w:p w14:paraId="732FBE07" w14:textId="5ADFA3D0" w:rsidR="005007C0" w:rsidRPr="00914EFD" w:rsidRDefault="00914EFD" w:rsidP="00567D4C">
            <w:pPr>
              <w:rPr>
                <w:rFonts w:asciiTheme="minorEastAsia" w:hAnsiTheme="minorEastAsia" w:hint="eastAsia"/>
              </w:rPr>
            </w:pPr>
            <w:r>
              <w:rPr>
                <w:rFonts w:asciiTheme="minorEastAsia" w:hAnsiTheme="minorEastAsia" w:hint="eastAsia"/>
                <w:lang w:eastAsia="zh-CN"/>
              </w:rPr>
              <w:t>(</w:t>
            </w:r>
            <w:r w:rsidR="00F926A5" w:rsidRPr="00914EFD">
              <w:rPr>
                <w:rFonts w:asciiTheme="minorEastAsia" w:hAnsiTheme="minorEastAsia"/>
                <w:lang w:eastAsia="zh-CN"/>
              </w:rPr>
              <w:t>Endorsed Programs</w:t>
            </w:r>
            <w:r>
              <w:rPr>
                <w:rFonts w:asciiTheme="minorEastAsia" w:hAnsiTheme="minorEastAsia" w:hint="eastAsia"/>
                <w:lang w:eastAsia="zh-CN"/>
              </w:rPr>
              <w:t>)</w:t>
            </w:r>
          </w:p>
        </w:tc>
        <w:tc>
          <w:tcPr>
            <w:tcW w:w="7373" w:type="dxa"/>
            <w:vAlign w:val="center"/>
            <w:hideMark/>
          </w:tcPr>
          <w:p w14:paraId="099A0D81" w14:textId="23F7CFD3" w:rsidR="00DB2889" w:rsidRPr="00914EFD" w:rsidRDefault="00F926A5" w:rsidP="005E7D74">
            <w:pPr>
              <w:cnfStyle w:val="000000000000" w:firstRow="0" w:lastRow="0" w:firstColumn="0" w:lastColumn="0" w:oddVBand="0" w:evenVBand="0" w:oddHBand="0" w:evenHBand="0" w:firstRowFirstColumn="0" w:firstRowLastColumn="0" w:lastRowFirstColumn="0" w:lastRowLastColumn="0"/>
              <w:rPr>
                <w:rFonts w:asciiTheme="minorEastAsia" w:hAnsiTheme="minorEastAsia"/>
                <w:color w:val="000000"/>
                <w:shd w:val="clear" w:color="auto" w:fill="FFFFFF"/>
                <w:lang w:eastAsia="zh-CN"/>
              </w:rPr>
            </w:pPr>
            <w:r w:rsidRPr="00914EFD">
              <w:rPr>
                <w:rFonts w:asciiTheme="minorEastAsia" w:hAnsiTheme="minorEastAsia"/>
                <w:color w:val="000000"/>
                <w:shd w:val="clear" w:color="auto" w:fill="FFFFFF"/>
                <w:lang w:eastAsia="zh-CN"/>
              </w:rPr>
              <w:t>受认可的学习计划是指那些不属于 WACE 课程或 VET 项目的学习活动。受认可的学习计划适合希望参与由学校、职场、大学或社区组织在多种环境下提供的学习机会的学生。受认可的学习计划可作为学校课程的一部分或课外活动开展，且学生可以将其作为一部分计入WACE 。</w:t>
            </w:r>
          </w:p>
        </w:tc>
      </w:tr>
      <w:tr w:rsidR="005007C0" w:rsidRPr="00914EFD" w14:paraId="4759E201" w14:textId="77777777" w:rsidTr="005E7D74">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696" w:type="dxa"/>
            <w:vAlign w:val="center"/>
            <w:hideMark/>
          </w:tcPr>
          <w:p w14:paraId="2FE7335D" w14:textId="4AED0036" w:rsidR="005007C0" w:rsidRPr="00914EFD" w:rsidRDefault="00F926A5" w:rsidP="00914EFD">
            <w:pPr>
              <w:spacing w:before="240"/>
              <w:rPr>
                <w:rFonts w:asciiTheme="minorEastAsia" w:hAnsiTheme="minorEastAsia" w:hint="eastAsia"/>
              </w:rPr>
            </w:pPr>
            <w:r w:rsidRPr="00914EFD">
              <w:rPr>
                <w:rFonts w:asciiTheme="minorEastAsia" w:hAnsiTheme="minorEastAsia"/>
                <w:lang w:eastAsia="zh-CN"/>
              </w:rPr>
              <w:t>预备课程</w:t>
            </w:r>
            <w:r w:rsidR="00914EFD">
              <w:rPr>
                <w:rFonts w:asciiTheme="minorEastAsia" w:hAnsiTheme="minorEastAsia" w:hint="eastAsia"/>
                <w:lang w:eastAsia="zh-CN"/>
              </w:rPr>
              <w:t>(</w:t>
            </w:r>
            <w:r w:rsidRPr="00914EFD">
              <w:rPr>
                <w:rFonts w:asciiTheme="minorEastAsia" w:hAnsiTheme="minorEastAsia"/>
                <w:lang w:eastAsia="zh-CN"/>
              </w:rPr>
              <w:t>Preliminary Course</w:t>
            </w:r>
            <w:r w:rsidR="00914EFD">
              <w:rPr>
                <w:rFonts w:asciiTheme="minorEastAsia" w:hAnsiTheme="minorEastAsia" w:hint="eastAsia"/>
                <w:lang w:eastAsia="zh-CN"/>
              </w:rPr>
              <w:t>s)</w:t>
            </w:r>
          </w:p>
        </w:tc>
        <w:tc>
          <w:tcPr>
            <w:tcW w:w="7373" w:type="dxa"/>
            <w:vAlign w:val="center"/>
            <w:hideMark/>
          </w:tcPr>
          <w:p w14:paraId="24EC0142" w14:textId="08CA7EB6" w:rsidR="00F926A5" w:rsidRPr="00914EFD"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lang w:eastAsia="zh-CN"/>
              </w:rPr>
            </w:pPr>
            <w:r w:rsidRPr="00914EFD">
              <w:rPr>
                <w:rFonts w:asciiTheme="minorEastAsia" w:hAnsiTheme="minorEastAsia"/>
                <w:lang w:eastAsia="zh-CN"/>
              </w:rPr>
              <w:t>预备课程专为在学习能力和/或智力方面有困难的学生设计。这些课程为那些无法通过调整或残障支持方式进入 ATAR、普通或基础课程的学生提供另外一些选项。</w:t>
            </w:r>
          </w:p>
          <w:p w14:paraId="53AA4D07" w14:textId="6028C291" w:rsidR="00DB2889" w:rsidRPr="00914EFD" w:rsidRDefault="00F926A5" w:rsidP="005E7D74">
            <w:pPr>
              <w:cnfStyle w:val="000000010000" w:firstRow="0" w:lastRow="0" w:firstColumn="0" w:lastColumn="0" w:oddVBand="0" w:evenVBand="0" w:oddHBand="0" w:evenHBand="1" w:firstRowFirstColumn="0" w:firstRowLastColumn="0" w:lastRowFirstColumn="0" w:lastRowLastColumn="0"/>
              <w:rPr>
                <w:rFonts w:asciiTheme="minorEastAsia" w:hAnsiTheme="minorEastAsia"/>
                <w:lang w:eastAsia="zh-CN"/>
              </w:rPr>
            </w:pPr>
            <w:r w:rsidRPr="00914EFD">
              <w:rPr>
                <w:rFonts w:asciiTheme="minorEastAsia" w:hAnsiTheme="minorEastAsia"/>
                <w:lang w:eastAsia="zh-CN"/>
              </w:rPr>
              <w:t>预备课程科目不能计入WACE 。</w:t>
            </w:r>
          </w:p>
        </w:tc>
      </w:tr>
    </w:tbl>
    <w:p w14:paraId="2BEEC91B" w14:textId="77777777" w:rsidR="00F926A5" w:rsidRPr="00914EFD" w:rsidRDefault="00F926A5" w:rsidP="00F926A5">
      <w:pPr>
        <w:pStyle w:val="Notes"/>
        <w:rPr>
          <w:rFonts w:asciiTheme="minorEastAsia" w:hAnsiTheme="minorEastAsia"/>
          <w:lang w:eastAsia="zh-CN"/>
        </w:rPr>
      </w:pPr>
    </w:p>
    <w:sectPr w:rsidR="00F926A5" w:rsidRPr="00914EFD" w:rsidSect="003E7296">
      <w:headerReference w:type="default" r:id="rId12"/>
      <w:footerReference w:type="default" r:id="rId13"/>
      <w:headerReference w:type="first" r:id="rId14"/>
      <w:footerReference w:type="first" r:id="rId15"/>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EAFA" w14:textId="77777777" w:rsidR="009261FF" w:rsidRDefault="009261FF" w:rsidP="00127DAD">
      <w:r>
        <w:separator/>
      </w:r>
    </w:p>
  </w:endnote>
  <w:endnote w:type="continuationSeparator" w:id="0">
    <w:p w14:paraId="6BFF8649" w14:textId="77777777" w:rsidR="009261FF" w:rsidRDefault="009261FF"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67D8" w14:textId="0FB0A4CC" w:rsidR="008626AA" w:rsidRPr="003E7296" w:rsidRDefault="008626AA" w:rsidP="008626AA">
    <w:pPr>
      <w:pStyle w:val="Footer"/>
      <w:rPr>
        <w:sz w:val="18"/>
        <w:szCs w:val="14"/>
      </w:rPr>
    </w:pPr>
    <w:r>
      <w:rPr>
        <w:lang w:eastAsia="zh-CN"/>
      </w:rPr>
      <w:tab/>
    </w:r>
    <w:r>
      <w:rPr>
        <w:lang w:eastAsia="zh-CN"/>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D24/0256674</w:t>
        </w:r>
      </w:sdtContent>
    </w:sdt>
  </w:p>
  <w:p w14:paraId="3CC1B870" w14:textId="0C9C4C4C" w:rsidR="000F6D5A" w:rsidRPr="003E7296" w:rsidRDefault="008626AA" w:rsidP="008626AA">
    <w:pPr>
      <w:pStyle w:val="Footer"/>
      <w:rPr>
        <w:sz w:val="18"/>
        <w:szCs w:val="14"/>
      </w:rPr>
    </w:pPr>
    <w:r>
      <w:rPr>
        <w:sz w:val="18"/>
        <w:szCs w:val="14"/>
        <w:lang w:eastAsia="zh-CN"/>
      </w:rPr>
      <w:tab/>
    </w:r>
    <w:r>
      <w:rPr>
        <w:sz w:val="18"/>
        <w:szCs w:val="14"/>
        <w:lang w:eastAsia="zh-CN"/>
      </w:rPr>
      <w:fldChar w:fldCharType="begin"/>
    </w:r>
    <w:r>
      <w:rPr>
        <w:sz w:val="18"/>
        <w:szCs w:val="14"/>
        <w:lang w:eastAsia="zh-CN"/>
      </w:rPr>
      <w:instrText xml:space="preserve"> PAGE   \* MERGEFORMAT </w:instrText>
    </w:r>
    <w:r>
      <w:rPr>
        <w:sz w:val="18"/>
        <w:szCs w:val="14"/>
        <w:lang w:eastAsia="zh-CN"/>
      </w:rPr>
      <w:fldChar w:fldCharType="separate"/>
    </w:r>
    <w:r>
      <w:rPr>
        <w:noProof/>
        <w:sz w:val="18"/>
        <w:szCs w:val="14"/>
        <w:lang w:eastAsia="zh-CN"/>
      </w:rPr>
      <w:t>2</w:t>
    </w:r>
    <w:r>
      <w:rPr>
        <w:sz w:val="18"/>
        <w:szCs w:val="14"/>
        <w:lang w:eastAsia="zh-CN"/>
      </w:rPr>
      <w:fldChar w:fldCharType="end"/>
    </w:r>
    <w:r>
      <w:rPr>
        <w:sz w:val="18"/>
        <w:szCs w:val="14"/>
        <w:lang w:eastAsia="zh-CN"/>
      </w:rPr>
      <w:tab/>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891F" w14:textId="7FBB372F" w:rsidR="00440775" w:rsidRPr="003E7296" w:rsidRDefault="001E1668" w:rsidP="001E1668">
    <w:pPr>
      <w:pStyle w:val="Footer"/>
      <w:rPr>
        <w:sz w:val="18"/>
        <w:szCs w:val="14"/>
      </w:rPr>
    </w:pPr>
    <w:r>
      <w:rPr>
        <w:lang w:eastAsia="zh-CN"/>
      </w:rPr>
      <w:tab/>
    </w:r>
    <w:r>
      <w:rPr>
        <w:lang w:eastAsia="zh-CN"/>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lang w:eastAsia="zh-CN"/>
          </w:rPr>
          <w:t>D24/0256674</w:t>
        </w:r>
      </w:sdtContent>
    </w:sdt>
  </w:p>
  <w:p w14:paraId="0E2C46A7" w14:textId="0337A0DE" w:rsidR="00AF71AF" w:rsidRPr="00FE0C8C" w:rsidRDefault="00440775" w:rsidP="001E1668">
    <w:pPr>
      <w:pStyle w:val="Footer"/>
      <w:rPr>
        <w:sz w:val="18"/>
        <w:szCs w:val="14"/>
      </w:rPr>
    </w:pPr>
    <w:r>
      <w:rPr>
        <w:color w:val="auto"/>
        <w:sz w:val="18"/>
        <w:szCs w:val="14"/>
        <w:lang w:eastAsia="zh-CN"/>
      </w:rPr>
      <w:tab/>
    </w:r>
    <w:r>
      <w:rPr>
        <w:color w:val="auto"/>
        <w:sz w:val="18"/>
        <w:szCs w:val="14"/>
        <w:lang w:eastAsia="zh-CN"/>
      </w:rPr>
      <w:tab/>
    </w:r>
    <w:r>
      <w:rPr>
        <w:sz w:val="18"/>
        <w:szCs w:val="14"/>
        <w:lang w:eastAsia="zh-CN"/>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CF37" w14:textId="77777777" w:rsidR="009261FF" w:rsidRDefault="009261FF" w:rsidP="00127DAD">
      <w:r>
        <w:separator/>
      </w:r>
    </w:p>
  </w:footnote>
  <w:footnote w:type="continuationSeparator" w:id="0">
    <w:p w14:paraId="5E5A24A9" w14:textId="77777777" w:rsidR="009261FF" w:rsidRDefault="009261FF"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9A0D" w14:textId="77777777" w:rsidR="00633068" w:rsidRDefault="00633068">
    <w:pPr>
      <w:pStyle w:val="Header"/>
    </w:pPr>
    <w:r>
      <w:rPr>
        <w:noProof/>
        <w:lang w:eastAsia="zh-CN"/>
      </w:rPr>
      <w:drawing>
        <wp:anchor distT="0" distB="0" distL="114300" distR="114300" simplePos="0" relativeHeight="251657728"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11" w14:textId="4E7CFC37" w:rsidR="00916AF7" w:rsidRDefault="00914EFD" w:rsidP="00127DAD">
    <w:pPr>
      <w:pStyle w:val="Header"/>
    </w:pPr>
    <w:r>
      <w:rPr>
        <w:noProof/>
      </w:rPr>
      <mc:AlternateContent>
        <mc:Choice Requires="wps">
          <w:drawing>
            <wp:anchor distT="45720" distB="45720" distL="114300" distR="114300" simplePos="0" relativeHeight="251660800" behindDoc="0" locked="0" layoutInCell="1" allowOverlap="1" wp14:anchorId="2BE4BC53" wp14:editId="3F14A721">
              <wp:simplePos x="0" y="0"/>
              <wp:positionH relativeFrom="column">
                <wp:posOffset>5468620</wp:posOffset>
              </wp:positionH>
              <wp:positionV relativeFrom="paragraph">
                <wp:posOffset>-151765</wp:posOffset>
              </wp:positionV>
              <wp:extent cx="1397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404620"/>
                      </a:xfrm>
                      <a:prstGeom prst="rect">
                        <a:avLst/>
                      </a:prstGeom>
                      <a:noFill/>
                      <a:ln w="9525">
                        <a:noFill/>
                        <a:miter lim="800000"/>
                        <a:headEnd/>
                        <a:tailEnd/>
                      </a:ln>
                    </wps:spPr>
                    <wps:txbx>
                      <w:txbxContent>
                        <w:p w14:paraId="29872CBD" w14:textId="56033B1C" w:rsidR="00914EFD" w:rsidRPr="00914EFD" w:rsidRDefault="00914EFD">
                          <w:pPr>
                            <w:rPr>
                              <w:rFonts w:hint="eastAsia"/>
                              <w:color w:val="404040" w:themeColor="text1" w:themeTint="BF"/>
                              <w:sz w:val="18"/>
                              <w:szCs w:val="18"/>
                            </w:rPr>
                          </w:pPr>
                          <w:r w:rsidRPr="00914EFD">
                            <w:rPr>
                              <w:rFonts w:hint="eastAsia"/>
                              <w:color w:val="404040" w:themeColor="text1" w:themeTint="BF"/>
                              <w:sz w:val="18"/>
                              <w:szCs w:val="18"/>
                              <w:lang w:eastAsia="zh-CN"/>
                            </w:rPr>
                            <w:t xml:space="preserve">Simplified Chinese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4BC53" id="_x0000_t202" coordsize="21600,21600" o:spt="202" path="m,l,21600r21600,l21600,xe">
              <v:stroke joinstyle="miter"/>
              <v:path gradientshapeok="t" o:connecttype="rect"/>
            </v:shapetype>
            <v:shape id="Text Box 2" o:spid="_x0000_s1026" type="#_x0000_t202" style="position:absolute;margin-left:430.6pt;margin-top:-11.95pt;width:110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" filled="f" stroked="f">
              <v:textbox style="mso-fit-shape-to-text:t">
                <w:txbxContent>
                  <w:p w14:paraId="29872CBD" w14:textId="56033B1C" w:rsidR="00914EFD" w:rsidRPr="00914EFD" w:rsidRDefault="00914EFD">
                    <w:pPr>
                      <w:rPr>
                        <w:rFonts w:hint="eastAsia"/>
                        <w:color w:val="404040" w:themeColor="text1" w:themeTint="BF"/>
                        <w:sz w:val="18"/>
                        <w:szCs w:val="18"/>
                      </w:rPr>
                    </w:pPr>
                    <w:r w:rsidRPr="00914EFD">
                      <w:rPr>
                        <w:rFonts w:hint="eastAsia"/>
                        <w:color w:val="404040" w:themeColor="text1" w:themeTint="BF"/>
                        <w:sz w:val="18"/>
                        <w:szCs w:val="18"/>
                        <w:lang w:eastAsia="zh-CN"/>
                      </w:rPr>
                      <w:t xml:space="preserve">Simplified Chinese </w:t>
                    </w:r>
                  </w:p>
                </w:txbxContent>
              </v:textbox>
              <w10:wrap type="square"/>
            </v:shape>
          </w:pict>
        </mc:Fallback>
      </mc:AlternateContent>
    </w:r>
    <w:r w:rsidR="00DD5BF0">
      <w:rPr>
        <w:noProof/>
        <w:lang w:eastAsia="zh-CN"/>
      </w:rPr>
      <w:drawing>
        <wp:anchor distT="0" distB="0" distL="114300" distR="114300" simplePos="0" relativeHeight="251656704"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eastAsia="zh-CN"/>
      </w:rPr>
      <w:drawing>
        <wp:anchor distT="0" distB="0" distL="114300" distR="114300" simplePos="0" relativeHeight="25165875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2" w15:restartNumberingAfterBreak="0">
    <w:nsid w:val="418433A8"/>
    <w:multiLevelType w:val="multilevel"/>
    <w:tmpl w:val="908CAE96"/>
    <w:numStyleLink w:val="NumberedList"/>
  </w:abstractNum>
  <w:abstractNum w:abstractNumId="13" w15:restartNumberingAfterBreak="0">
    <w:nsid w:val="6F206309"/>
    <w:multiLevelType w:val="multilevel"/>
    <w:tmpl w:val="7C98648E"/>
    <w:numStyleLink w:val="BulletedList"/>
  </w:abstractNum>
  <w:num w:numId="1" w16cid:durableId="217009249">
    <w:abstractNumId w:val="13"/>
  </w:num>
  <w:num w:numId="2" w16cid:durableId="1454444514">
    <w:abstractNumId w:val="9"/>
  </w:num>
  <w:num w:numId="3" w16cid:durableId="238053673">
    <w:abstractNumId w:val="10"/>
  </w:num>
  <w:num w:numId="4" w16cid:durableId="1258637233">
    <w:abstractNumId w:val="12"/>
  </w:num>
  <w:num w:numId="5" w16cid:durableId="503132553">
    <w:abstractNumId w:val="11"/>
  </w:num>
  <w:num w:numId="6" w16cid:durableId="1724714898">
    <w:abstractNumId w:val="7"/>
  </w:num>
  <w:num w:numId="7" w16cid:durableId="993801401">
    <w:abstractNumId w:val="6"/>
  </w:num>
  <w:num w:numId="8" w16cid:durableId="309137318">
    <w:abstractNumId w:val="5"/>
  </w:num>
  <w:num w:numId="9" w16cid:durableId="1955359344">
    <w:abstractNumId w:val="4"/>
  </w:num>
  <w:num w:numId="10" w16cid:durableId="1250502491">
    <w:abstractNumId w:val="8"/>
  </w:num>
  <w:num w:numId="11" w16cid:durableId="194925260">
    <w:abstractNumId w:val="3"/>
  </w:num>
  <w:num w:numId="12" w16cid:durableId="1316031523">
    <w:abstractNumId w:val="2"/>
  </w:num>
  <w:num w:numId="13" w16cid:durableId="739213105">
    <w:abstractNumId w:val="1"/>
  </w:num>
  <w:num w:numId="14" w16cid:durableId="862205529">
    <w:abstractNumId w:val="0"/>
  </w:num>
  <w:num w:numId="15" w16cid:durableId="1284340549">
    <w:abstractNumId w:val="13"/>
  </w:num>
  <w:num w:numId="16" w16cid:durableId="426004607">
    <w:abstractNumId w:val="9"/>
  </w:num>
  <w:num w:numId="17" w16cid:durableId="461115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22E09"/>
    <w:rsid w:val="00041982"/>
    <w:rsid w:val="00042E65"/>
    <w:rsid w:val="00043E92"/>
    <w:rsid w:val="000441E9"/>
    <w:rsid w:val="00052680"/>
    <w:rsid w:val="000626CD"/>
    <w:rsid w:val="0007329C"/>
    <w:rsid w:val="00073C07"/>
    <w:rsid w:val="000776FB"/>
    <w:rsid w:val="00077ED0"/>
    <w:rsid w:val="00092DEE"/>
    <w:rsid w:val="000A5C8A"/>
    <w:rsid w:val="000A6D78"/>
    <w:rsid w:val="000B0131"/>
    <w:rsid w:val="000B2747"/>
    <w:rsid w:val="000B6A3E"/>
    <w:rsid w:val="000C58B8"/>
    <w:rsid w:val="000E61C9"/>
    <w:rsid w:val="000F3848"/>
    <w:rsid w:val="000F6D5A"/>
    <w:rsid w:val="00117BC1"/>
    <w:rsid w:val="00125098"/>
    <w:rsid w:val="00127DAD"/>
    <w:rsid w:val="0013587A"/>
    <w:rsid w:val="0017483D"/>
    <w:rsid w:val="00177D2D"/>
    <w:rsid w:val="00185215"/>
    <w:rsid w:val="001B2283"/>
    <w:rsid w:val="001C79C3"/>
    <w:rsid w:val="001D4434"/>
    <w:rsid w:val="001D492C"/>
    <w:rsid w:val="001E1668"/>
    <w:rsid w:val="001E62CB"/>
    <w:rsid w:val="001F63E2"/>
    <w:rsid w:val="002057F1"/>
    <w:rsid w:val="00237DA1"/>
    <w:rsid w:val="00250BF2"/>
    <w:rsid w:val="002715EE"/>
    <w:rsid w:val="002771D2"/>
    <w:rsid w:val="002964D2"/>
    <w:rsid w:val="00297C14"/>
    <w:rsid w:val="002D49E6"/>
    <w:rsid w:val="002E0306"/>
    <w:rsid w:val="002E3D4D"/>
    <w:rsid w:val="002E7F90"/>
    <w:rsid w:val="002F01CD"/>
    <w:rsid w:val="002F49DF"/>
    <w:rsid w:val="00303358"/>
    <w:rsid w:val="003152E0"/>
    <w:rsid w:val="00316604"/>
    <w:rsid w:val="0031727B"/>
    <w:rsid w:val="003257AC"/>
    <w:rsid w:val="003403BB"/>
    <w:rsid w:val="00365B17"/>
    <w:rsid w:val="00376020"/>
    <w:rsid w:val="00380413"/>
    <w:rsid w:val="00381218"/>
    <w:rsid w:val="00383E16"/>
    <w:rsid w:val="00390D50"/>
    <w:rsid w:val="00392C1D"/>
    <w:rsid w:val="00396551"/>
    <w:rsid w:val="00397F0C"/>
    <w:rsid w:val="003A1CC6"/>
    <w:rsid w:val="003B56AB"/>
    <w:rsid w:val="003C3383"/>
    <w:rsid w:val="003C7215"/>
    <w:rsid w:val="003E7296"/>
    <w:rsid w:val="004103B9"/>
    <w:rsid w:val="00414D84"/>
    <w:rsid w:val="0042142B"/>
    <w:rsid w:val="00424303"/>
    <w:rsid w:val="004245B2"/>
    <w:rsid w:val="00440775"/>
    <w:rsid w:val="0044231C"/>
    <w:rsid w:val="004457C7"/>
    <w:rsid w:val="0045201C"/>
    <w:rsid w:val="004661A2"/>
    <w:rsid w:val="00466E52"/>
    <w:rsid w:val="004A2133"/>
    <w:rsid w:val="004A38B6"/>
    <w:rsid w:val="004B06B1"/>
    <w:rsid w:val="004C6818"/>
    <w:rsid w:val="004D0B2E"/>
    <w:rsid w:val="0050052A"/>
    <w:rsid w:val="005007C0"/>
    <w:rsid w:val="005045E0"/>
    <w:rsid w:val="005561F1"/>
    <w:rsid w:val="00566FE9"/>
    <w:rsid w:val="00567D4C"/>
    <w:rsid w:val="005728CD"/>
    <w:rsid w:val="005A1925"/>
    <w:rsid w:val="005B118D"/>
    <w:rsid w:val="005B2D97"/>
    <w:rsid w:val="005D0F5C"/>
    <w:rsid w:val="005E1145"/>
    <w:rsid w:val="005E1703"/>
    <w:rsid w:val="005E7D74"/>
    <w:rsid w:val="0060579B"/>
    <w:rsid w:val="00620FC1"/>
    <w:rsid w:val="00633068"/>
    <w:rsid w:val="0065350E"/>
    <w:rsid w:val="0066015D"/>
    <w:rsid w:val="0066581B"/>
    <w:rsid w:val="0066616A"/>
    <w:rsid w:val="006723BD"/>
    <w:rsid w:val="006926AB"/>
    <w:rsid w:val="00694952"/>
    <w:rsid w:val="0069523A"/>
    <w:rsid w:val="006A1BE6"/>
    <w:rsid w:val="006A3C91"/>
    <w:rsid w:val="006B214C"/>
    <w:rsid w:val="006D0BC0"/>
    <w:rsid w:val="006F639D"/>
    <w:rsid w:val="00733C11"/>
    <w:rsid w:val="007343DF"/>
    <w:rsid w:val="007358C4"/>
    <w:rsid w:val="00753103"/>
    <w:rsid w:val="007657C5"/>
    <w:rsid w:val="007761FB"/>
    <w:rsid w:val="00783AC6"/>
    <w:rsid w:val="00786BF1"/>
    <w:rsid w:val="007875ED"/>
    <w:rsid w:val="007A58C0"/>
    <w:rsid w:val="007A782B"/>
    <w:rsid w:val="007F30C7"/>
    <w:rsid w:val="0080285D"/>
    <w:rsid w:val="008250E2"/>
    <w:rsid w:val="00840EFA"/>
    <w:rsid w:val="00843E30"/>
    <w:rsid w:val="00845C58"/>
    <w:rsid w:val="0085098E"/>
    <w:rsid w:val="008626AA"/>
    <w:rsid w:val="008631A5"/>
    <w:rsid w:val="0088584D"/>
    <w:rsid w:val="00886E6E"/>
    <w:rsid w:val="008911E4"/>
    <w:rsid w:val="00895CEF"/>
    <w:rsid w:val="008A1F74"/>
    <w:rsid w:val="008A7361"/>
    <w:rsid w:val="008B02EB"/>
    <w:rsid w:val="008D7EFC"/>
    <w:rsid w:val="008E6F71"/>
    <w:rsid w:val="00914EFD"/>
    <w:rsid w:val="00916AF7"/>
    <w:rsid w:val="009239C6"/>
    <w:rsid w:val="009261FF"/>
    <w:rsid w:val="00944008"/>
    <w:rsid w:val="00944EB7"/>
    <w:rsid w:val="0095620D"/>
    <w:rsid w:val="009567D2"/>
    <w:rsid w:val="00967403"/>
    <w:rsid w:val="00976958"/>
    <w:rsid w:val="00992BCE"/>
    <w:rsid w:val="009F7FE4"/>
    <w:rsid w:val="00A10BB8"/>
    <w:rsid w:val="00A26AEF"/>
    <w:rsid w:val="00A35095"/>
    <w:rsid w:val="00A43B6C"/>
    <w:rsid w:val="00A44533"/>
    <w:rsid w:val="00A54E0A"/>
    <w:rsid w:val="00A64252"/>
    <w:rsid w:val="00A64930"/>
    <w:rsid w:val="00A66AAD"/>
    <w:rsid w:val="00A759C6"/>
    <w:rsid w:val="00A8272B"/>
    <w:rsid w:val="00AA413D"/>
    <w:rsid w:val="00AB4166"/>
    <w:rsid w:val="00AC269B"/>
    <w:rsid w:val="00AC641B"/>
    <w:rsid w:val="00AE57C0"/>
    <w:rsid w:val="00AF71AF"/>
    <w:rsid w:val="00B06BD2"/>
    <w:rsid w:val="00B13255"/>
    <w:rsid w:val="00B143E6"/>
    <w:rsid w:val="00B174C0"/>
    <w:rsid w:val="00B17C7F"/>
    <w:rsid w:val="00B25456"/>
    <w:rsid w:val="00B374A9"/>
    <w:rsid w:val="00B54143"/>
    <w:rsid w:val="00B544BA"/>
    <w:rsid w:val="00B56A6C"/>
    <w:rsid w:val="00B6170F"/>
    <w:rsid w:val="00B669D2"/>
    <w:rsid w:val="00B90E8D"/>
    <w:rsid w:val="00B929DA"/>
    <w:rsid w:val="00BA12A1"/>
    <w:rsid w:val="00BD0B3B"/>
    <w:rsid w:val="00BE5969"/>
    <w:rsid w:val="00C011D5"/>
    <w:rsid w:val="00C106E2"/>
    <w:rsid w:val="00C16C27"/>
    <w:rsid w:val="00C35BA3"/>
    <w:rsid w:val="00C46C7A"/>
    <w:rsid w:val="00C76B4B"/>
    <w:rsid w:val="00C77A2C"/>
    <w:rsid w:val="00C800E3"/>
    <w:rsid w:val="00C84C21"/>
    <w:rsid w:val="00C96238"/>
    <w:rsid w:val="00CA0BE1"/>
    <w:rsid w:val="00CA7565"/>
    <w:rsid w:val="00CB081C"/>
    <w:rsid w:val="00CB46BF"/>
    <w:rsid w:val="00CD3045"/>
    <w:rsid w:val="00CE19F1"/>
    <w:rsid w:val="00D000C5"/>
    <w:rsid w:val="00D14913"/>
    <w:rsid w:val="00D21BAC"/>
    <w:rsid w:val="00D30C69"/>
    <w:rsid w:val="00D40239"/>
    <w:rsid w:val="00D544F4"/>
    <w:rsid w:val="00D65750"/>
    <w:rsid w:val="00D846C7"/>
    <w:rsid w:val="00D904A2"/>
    <w:rsid w:val="00DA1B75"/>
    <w:rsid w:val="00DB2889"/>
    <w:rsid w:val="00DB3088"/>
    <w:rsid w:val="00DC188E"/>
    <w:rsid w:val="00DD5BF0"/>
    <w:rsid w:val="00DE3892"/>
    <w:rsid w:val="00E140E6"/>
    <w:rsid w:val="00E17418"/>
    <w:rsid w:val="00E3357D"/>
    <w:rsid w:val="00E420D5"/>
    <w:rsid w:val="00E43656"/>
    <w:rsid w:val="00E52115"/>
    <w:rsid w:val="00E53698"/>
    <w:rsid w:val="00E55C69"/>
    <w:rsid w:val="00E643C2"/>
    <w:rsid w:val="00E658DE"/>
    <w:rsid w:val="00E71C01"/>
    <w:rsid w:val="00E8029E"/>
    <w:rsid w:val="00E853BD"/>
    <w:rsid w:val="00E92534"/>
    <w:rsid w:val="00E9357B"/>
    <w:rsid w:val="00E95CBA"/>
    <w:rsid w:val="00E977D2"/>
    <w:rsid w:val="00EB5069"/>
    <w:rsid w:val="00EB7800"/>
    <w:rsid w:val="00ED3AB9"/>
    <w:rsid w:val="00EF20B0"/>
    <w:rsid w:val="00F0060B"/>
    <w:rsid w:val="00F105A5"/>
    <w:rsid w:val="00F22678"/>
    <w:rsid w:val="00F24F5D"/>
    <w:rsid w:val="00F4033E"/>
    <w:rsid w:val="00F50F29"/>
    <w:rsid w:val="00F539D8"/>
    <w:rsid w:val="00F6628D"/>
    <w:rsid w:val="00F8161E"/>
    <w:rsid w:val="00F84DE1"/>
    <w:rsid w:val="00F926A5"/>
    <w:rsid w:val="00FA03FB"/>
    <w:rsid w:val="00FA1899"/>
    <w:rsid w:val="00FA771C"/>
    <w:rsid w:val="00FB6D45"/>
    <w:rsid w:val="00FC4262"/>
    <w:rsid w:val="00FC6FAE"/>
    <w:rsid w:val="00FD1859"/>
    <w:rsid w:val="00FD35A7"/>
    <w:rsid w:val="00FE0C8C"/>
    <w:rsid w:val="00FE62C8"/>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430D6B66-C721-4AF5-AD2B-599D0831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Revision">
    <w:name w:val="Revision"/>
    <w:hidden/>
    <w:uiPriority w:val="99"/>
    <w:semiHidden/>
    <w:rsid w:val="00D904A2"/>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363BFE"/>
    <w:rsid w:val="003F43C2"/>
    <w:rsid w:val="00462B0A"/>
    <w:rsid w:val="004C60B5"/>
    <w:rsid w:val="005561F1"/>
    <w:rsid w:val="00702A54"/>
    <w:rsid w:val="00716BF8"/>
    <w:rsid w:val="00991E2F"/>
    <w:rsid w:val="00BD046A"/>
    <w:rsid w:val="00D000C5"/>
    <w:rsid w:val="00E52115"/>
    <w:rsid w:val="00EE7C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9C805-7AD8-4979-B0A9-EB9EF313543B}">
  <ds:schemaRefs>
    <ds:schemaRef ds:uri="http://www.w3.org/XML/1998/namespace"/>
    <ds:schemaRef ds:uri="http://schemas.microsoft.com/office/infopath/2007/PartnerControls"/>
    <ds:schemaRef ds:uri="http://schemas.openxmlformats.org/package/2006/metadata/core-properties"/>
    <ds:schemaRef ds:uri="d6520638-0d4b-4f10-b9f9-cc818b5e466b"/>
    <ds:schemaRef ds:uri="http://schemas.microsoft.com/office/2006/documentManagement/types"/>
    <ds:schemaRef ds:uri="http://purl.org/dc/terms/"/>
    <ds:schemaRef ds:uri="http://schemas.microsoft.com/office/2006/metadata/properties"/>
    <ds:schemaRef ds:uri="http://purl.org/dc/elements/1.1/"/>
    <ds:schemaRef ds:uri="http://purl.org/dc/dcmitype/"/>
  </ds:schemaRefs>
</ds:datastoreItem>
</file>

<file path=customXml/itemProps2.xml><?xml version="1.0" encoding="utf-8"?>
<ds:datastoreItem xmlns:ds="http://schemas.openxmlformats.org/officeDocument/2006/customXml" ds:itemID="{C07053F7-ABBB-4A18-BCAA-F847C4806A7D}">
  <ds:schemaRefs>
    <ds:schemaRef ds:uri="http://schemas.microsoft.com/sharepoint/v3/contenttype/forms"/>
  </ds:schemaRefs>
</ds:datastoreItem>
</file>

<file path=customXml/itemProps3.xml><?xml version="1.0" encoding="utf-8"?>
<ds:datastoreItem xmlns:ds="http://schemas.openxmlformats.org/officeDocument/2006/customXml" ds:itemID="{27F00ADD-773B-43E9-903C-E2815959CDDD}"/>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David Wu</cp:lastModifiedBy>
  <cp:revision>5</cp:revision>
  <cp:lastPrinted>2025-04-09T00:51:00Z</cp:lastPrinted>
  <dcterms:created xsi:type="dcterms:W3CDTF">2025-02-18T03:29:00Z</dcterms:created>
  <dcterms:modified xsi:type="dcterms:W3CDTF">2025-04-09T00:51:00Z</dcterms:modified>
  <cp:contentStatus>D24/0256674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