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af"/>
        </w:rPr>
        <w:t>Roetes na universiteit</w:t>
      </w:r>
    </w:p>
    <w:p w14:paraId="7B23013F" w14:textId="155A102B" w:rsidR="00F424CC" w:rsidRPr="00F424CC" w:rsidRDefault="00F424CC" w:rsidP="004C3145">
      <w:pPr>
        <w:pStyle w:val="Title"/>
        <w:rPr>
          <w:color w:val="auto"/>
          <w:sz w:val="36"/>
          <w:szCs w:val="36"/>
        </w:rPr>
      </w:pPr>
      <w:r>
        <w:rPr>
          <w:bCs/>
          <w:color w:val="auto"/>
          <w:sz w:val="36"/>
          <w:szCs w:val="36"/>
          <w:lang w:val="af"/>
        </w:rPr>
        <w:t>Inligting vir ouers en versorgers</w:t>
      </w:r>
    </w:p>
    <w:bookmarkEnd w:id="0"/>
    <w:bookmarkEnd w:id="1"/>
    <w:p w14:paraId="78A52AA3" w14:textId="77777777" w:rsidR="00F424CC" w:rsidRDefault="00F424CC" w:rsidP="004C3145">
      <w:pPr>
        <w:pStyle w:val="BodyText"/>
        <w:spacing w:before="209"/>
      </w:pPr>
      <w:r>
        <w:rPr>
          <w:lang w:val="af"/>
        </w:rPr>
        <w:t>Senior skoolstudente kan kies uit ’n wye verskeidenheid van roetes na universiteit, opleiding en werk.  Roetes kan uitgekies word om te voldoen aan studente se belangstellings, vaardighede, behoeftes en aspirasies.</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af"/>
        </w:rPr>
        <w:t>Wat is die roetes na universiteit?</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af"/>
        </w:rPr>
        <w:t>ATAR</w:t>
      </w:r>
    </w:p>
    <w:p w14:paraId="7BA0A285" w14:textId="77F6E707" w:rsidR="00A52B71" w:rsidRDefault="00F424CC" w:rsidP="004529D5">
      <w:pPr>
        <w:pStyle w:val="BodyText"/>
      </w:pPr>
      <w:r>
        <w:rPr>
          <w:lang w:val="af"/>
        </w:rPr>
        <w:t xml:space="preserve">’n Student se Australiese Tersiêre Toelatingsrang (Australian Tertiary Admissions Rank - ATAR) word bereken deur middel van hul kursus en eksamenresultate. ’n Minimum van 4 ATAR-kursusse word benodig. Vir die meerderheid studente verskaf die akademiese aard en uitdaging van ATAR-kursusse die beste voorbereiding vir sukses aan ’n universiteit. </w:t>
      </w:r>
    </w:p>
    <w:p w14:paraId="17F32ACD" w14:textId="77777777" w:rsidR="00A52B71" w:rsidRDefault="00A52B71" w:rsidP="004529D5">
      <w:pPr>
        <w:pStyle w:val="BodyText"/>
      </w:pPr>
    </w:p>
    <w:p w14:paraId="036899A0" w14:textId="2AF1C3D9" w:rsidR="004529D5" w:rsidRDefault="004529D5" w:rsidP="004529D5">
      <w:pPr>
        <w:pStyle w:val="BodyText"/>
      </w:pPr>
      <w:r>
        <w:rPr>
          <w:lang w:val="af"/>
        </w:rPr>
        <w:t>Skole voorsien hul Jaar-12 studente met inligting oor universiteitsaansoeke en toelating tot voorgraadse kursusse.</w:t>
      </w:r>
    </w:p>
    <w:p w14:paraId="0D162FFB" w14:textId="77777777" w:rsidR="00F424CC" w:rsidRDefault="00F424CC" w:rsidP="004C3145">
      <w:pPr>
        <w:pStyle w:val="BodyText"/>
      </w:pPr>
    </w:p>
    <w:p w14:paraId="273B6216" w14:textId="77777777" w:rsidR="00F424CC" w:rsidRDefault="00F424CC" w:rsidP="004C3145">
      <w:pPr>
        <w:pStyle w:val="BodyText"/>
      </w:pPr>
      <w:r>
        <w:rPr>
          <w:lang w:val="af"/>
        </w:rPr>
        <w:t>Om in ag geneem te word vir universiteitstoelating, moet ’n student wat ATAR gebruik:</w:t>
      </w:r>
    </w:p>
    <w:p w14:paraId="2C2EBEC9" w14:textId="3D68334C" w:rsidR="00F424CC" w:rsidRDefault="00F424CC" w:rsidP="00D70709">
      <w:pPr>
        <w:pStyle w:val="BodyText"/>
        <w:numPr>
          <w:ilvl w:val="0"/>
          <w:numId w:val="23"/>
        </w:numPr>
        <w:ind w:left="700"/>
      </w:pPr>
      <w:r>
        <w:rPr>
          <w:lang w:val="af"/>
        </w:rPr>
        <w:t>aan die vereistes  vir die Wes-Australiese Sertifikaat van Onderwys (Western Australian Certificate of Education - WACE) voldoen</w:t>
      </w:r>
    </w:p>
    <w:p w14:paraId="5618A6A3" w14:textId="4B64AF42" w:rsidR="004C4720" w:rsidRPr="00063A80" w:rsidRDefault="00F424CC" w:rsidP="00063A80">
      <w:pPr>
        <w:pStyle w:val="BodyText"/>
        <w:numPr>
          <w:ilvl w:val="0"/>
          <w:numId w:val="23"/>
        </w:numPr>
        <w:ind w:left="700"/>
      </w:pPr>
      <w:r>
        <w:rPr>
          <w:noProof/>
          <w:lang w:val="a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af"/>
        </w:rPr>
        <w:t>aan die Engelse Taalvaardigheidstandaard voldoen soos uiteengesit deur elke universiteit</w:t>
      </w:r>
    </w:p>
    <w:p w14:paraId="22C751E3" w14:textId="16C4E76B" w:rsidR="00F424CC" w:rsidRPr="004C4720" w:rsidRDefault="00F424CC" w:rsidP="00D70709">
      <w:pPr>
        <w:pStyle w:val="BodyText"/>
        <w:numPr>
          <w:ilvl w:val="0"/>
          <w:numId w:val="24"/>
        </w:numPr>
        <w:ind w:left="700"/>
      </w:pPr>
      <w:r>
        <w:rPr>
          <w:lang w:val="af"/>
        </w:rPr>
        <w:t>’n ATAR behaal wat toereikend is vir toelating tot ’n spesifieke kursus</w:t>
      </w:r>
    </w:p>
    <w:p w14:paraId="539D46F5" w14:textId="77777777" w:rsidR="00F424CC" w:rsidRDefault="00F424CC" w:rsidP="00D70709">
      <w:pPr>
        <w:pStyle w:val="BodyText"/>
        <w:numPr>
          <w:ilvl w:val="0"/>
          <w:numId w:val="24"/>
        </w:numPr>
        <w:ind w:left="700"/>
      </w:pPr>
      <w:r>
        <w:rPr>
          <w:lang w:val="af"/>
        </w:rPr>
        <w:t>enige voorvereistes of spesiale vereistes vir toelating tot ’n spesifieke kursus bevredig.</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af"/>
        </w:rPr>
        <w:t>ATAR met keurrangaanpassing</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af"/>
        </w:rPr>
        <w:t>Sommige studente kan in aanmerking kom vir ’n ATAR aanpassing. Aanpassings verbeter ’n student se rang weens faktore soos:</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af"/>
        </w:rPr>
        <w:t>woonadres of skoolbywoning in ’n sekere area</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af"/>
        </w:rPr>
        <w:t>om die eerste in ’n gesin te wees wat ’n universiteit bywoon.</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af"/>
        </w:rPr>
        <w:t xml:space="preserve">’n Student se keurrang kan verskil van universiteit tot universiteit. Die Tersiêre Inrigting Dienssentrum (Tertiary Institutions Service Centre - TISC) stel elke jaar ’n universiteitstoelatingsbrosjure met toelatingsvereistes en roeye-opsies beskikbaar: </w:t>
      </w:r>
      <w:hyperlink r:id="rId16" w:history="1">
        <w:r>
          <w:rPr>
            <w:rStyle w:val="Hyperlink"/>
            <w:shd w:val="clear" w:color="auto" w:fill="FFFFFF"/>
            <w:lang w:val="af"/>
          </w:rPr>
          <w:t>https://tisc.edu.au/static/guide/download.tisc</w:t>
        </w:r>
      </w:hyperlink>
      <w:r>
        <w:rPr>
          <w:color w:val="000000"/>
          <w:shd w:val="clear" w:color="auto" w:fill="FFFFFF"/>
          <w:lang w:val="af"/>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af"/>
        </w:rPr>
        <w:t>Universiteitsbemagtigingskursusse</w:t>
      </w:r>
    </w:p>
    <w:p w14:paraId="759740C7" w14:textId="77777777" w:rsidR="00F520DD" w:rsidRDefault="00291390" w:rsidP="004C3145">
      <w:pPr>
        <w:pStyle w:val="BodyText"/>
        <w:spacing w:after="120"/>
      </w:pPr>
      <w:r>
        <w:rPr>
          <w:lang w:val="af"/>
        </w:rPr>
        <w:t xml:space="preserve">Universiteitsbemagtigingskursusse is ontwerp om studente voor te berei om te kwalifiseer vir ’n verskeidenheid van voorgraadse kursusse. Hierdie kursusse ontwikkel die vaardighede wat nodig is om suksesvol te wees in universiteitsvlakstudies, soos akademiese navorsing en skryfvaardigheid, syfervaardigheid en kritiese denkvaardighede. </w:t>
      </w:r>
    </w:p>
    <w:p w14:paraId="29910771" w14:textId="5AA7443E" w:rsidR="00D47A10" w:rsidRDefault="00D537D1" w:rsidP="004C3145">
      <w:pPr>
        <w:pStyle w:val="BodyText"/>
        <w:spacing w:after="120"/>
      </w:pPr>
      <w:r>
        <w:rPr>
          <w:lang w:val="af"/>
        </w:rPr>
        <w:t xml:space="preserve">Bemagtigingskursusse is gratis vir skoolverlaters wat Australiese burgers is. Kostes en geskiktheid kan wissel vir nie-burgers.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af"/>
              </w:rPr>
              <w:t>Universiteit</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af"/>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af"/>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af"/>
                </w:rPr>
                <w:t>https://www.curtin.edu.au/study/applying/pathways/uniready-enabling-program/</w:t>
              </w:r>
            </w:hyperlink>
            <w:r>
              <w:rPr>
                <w:lang w:val="af"/>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af"/>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af"/>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af"/>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af"/>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af"/>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af"/>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af"/>
              </w:rPr>
              <w:t>Notre Dame Universiteit</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sidRPr="0066610A">
              <w:rPr>
                <w:lang w:val="af"/>
              </w:rPr>
              <w:t xml:space="preserve">Tersiêre Roete Program (Tertiary Pathway Program -TPP) </w:t>
            </w:r>
            <w:hyperlink r:id="rId20" w:history="1">
              <w:r>
                <w:rPr>
                  <w:rStyle w:val="Hyperlink"/>
                  <w:b/>
                  <w:bCs/>
                  <w:u w:val="none"/>
                  <w:lang w:val="af"/>
                </w:rPr>
                <w:t>https://www.notredame.edu.au/study/pathways/tertiary-pathway-program</w:t>
              </w:r>
            </w:hyperlink>
          </w:p>
        </w:tc>
      </w:tr>
      <w:tr w:rsidR="00347DBB" w14:paraId="08611D7E" w14:textId="77777777" w:rsidTr="0066610A">
        <w:trPr>
          <w:trHeight w:val="16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af"/>
              </w:rPr>
              <w:t>Western Australia Universiteit</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af"/>
              </w:rPr>
              <w:t>Die Western Australia Universiteit aanvaar inskrywings na die suksesvolle voltooiing van bemagtigingsprogramme by Australian Universiteit of ’n geaffilieerde kollege met ’n finale aangepaste gemiddelde punt van 65% of hoër.</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af"/>
                </w:rPr>
                <w:t>https://www.uwa.edu.au/study/how-to-apply/admission-entry-pathways/enabling-programs</w:t>
              </w:r>
            </w:hyperlink>
            <w:r>
              <w:rPr>
                <w:lang w:val="af"/>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af"/>
        </w:rPr>
        <w:t>Beroepsonderrig en opleiding (VET)</w:t>
      </w:r>
    </w:p>
    <w:p w14:paraId="2B655608" w14:textId="73D46355" w:rsidR="00F321C6" w:rsidRDefault="00553638" w:rsidP="00CC54CA">
      <w:pPr>
        <w:pStyle w:val="BodyText"/>
        <w:spacing w:before="5" w:after="120"/>
      </w:pPr>
      <w:r>
        <w:rPr>
          <w:lang w:val="af"/>
        </w:rPr>
        <w:t>Beroepsonderrig en opleiding (Vocational Education and Training - VET) kwalifikasies kan dien as uitstekende roetes na hoër onderwys. Studente kan VET-kwalifikasies gebruik om die minimum toelatingsvereistes vir ’n verskeidenheid van voorgraadse kursusse te bevredig. Relevante VET-kwalifikasies mag ook gevorderde status of kredietoordragreëlings bied, wat die vaardighede en kennis erken wat opgedoen is deur beroepsopleiding.</w:t>
      </w:r>
    </w:p>
    <w:tbl>
      <w:tblPr>
        <w:tblStyle w:val="DOETable1"/>
        <w:tblW w:w="9634" w:type="dxa"/>
        <w:tblLook w:val="04A0" w:firstRow="1" w:lastRow="0" w:firstColumn="1" w:lastColumn="0" w:noHBand="0" w:noVBand="1"/>
      </w:tblPr>
      <w:tblGrid>
        <w:gridCol w:w="1415"/>
        <w:gridCol w:w="8219"/>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af"/>
              </w:rPr>
              <w:t>Universiteit</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af"/>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af"/>
                </w:rPr>
                <w:t>https://www.curtin.edu.au/study/applying/pathways/tafe-vet/</w:t>
              </w:r>
            </w:hyperlink>
            <w:r>
              <w:rPr>
                <w:lang w:val="af"/>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af"/>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af"/>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af"/>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af"/>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af"/>
              </w:rPr>
              <w:t>Notre Dame Universiteit</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af"/>
                </w:rPr>
                <w:t>https://www.notredame.edu.au/study/applications-and-admissions/pathways/other-entry-pathways</w:t>
              </w:r>
            </w:hyperlink>
            <w:r>
              <w:rPr>
                <w:lang w:val="af"/>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af"/>
              </w:rPr>
              <w:t>Western Australia Universiteit</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af"/>
                </w:rPr>
                <w:t>https://www.uwa.edu.au/study/how-to-apply/entry-standards</w:t>
              </w:r>
            </w:hyperlink>
          </w:p>
        </w:tc>
      </w:tr>
    </w:tbl>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af"/>
        </w:rPr>
        <w:t>Portefeulje Toegang</w:t>
      </w:r>
    </w:p>
    <w:p w14:paraId="539632D5" w14:textId="5E3C506F" w:rsidR="00F321C6" w:rsidRDefault="00291390" w:rsidP="00037E99">
      <w:pPr>
        <w:spacing w:after="240"/>
      </w:pPr>
      <w:r>
        <w:rPr>
          <w:lang w:val="af"/>
        </w:rPr>
        <w:t xml:space="preserve">Studente mag oorweeg word vir toelating tot spesifieke voorgraadse kursusse gebaseer op ’n portefeulje wat akademiese prestasies, kwalifikasies, vaardighede en geskiktheid vir tersiêre studies tentoonstel. </w:t>
      </w:r>
    </w:p>
    <w:p w14:paraId="541DB3B5" w14:textId="2876061D" w:rsidR="00355F8F" w:rsidRDefault="00355F8F" w:rsidP="00037E99">
      <w:pPr>
        <w:pStyle w:val="BodyText"/>
        <w:spacing w:before="120" w:after="120"/>
      </w:pPr>
      <w:hyperlink r:id="rId29">
        <w:r>
          <w:rPr>
            <w:lang w:val="af"/>
          </w:rPr>
          <w:t>P</w:t>
        </w:r>
      </w:hyperlink>
      <w:r>
        <w:rPr>
          <w:lang w:val="af"/>
        </w:rPr>
        <w:t xml:space="preserve">ortefeulje toelating is beskikbaar vir ’n verskeidenheid van kursusse. Sommige kursusse het bykomende kursusspesifieke toelatingkriteria.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af"/>
              </w:rPr>
              <w:t>Universiteit</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af"/>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lang w:val="af"/>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af"/>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1" w:history="1">
              <w:r>
                <w:rPr>
                  <w:rStyle w:val="Hyperlink"/>
                  <w:lang w:val="af"/>
                </w:rPr>
                <w:t>https://www.ecu.edu.au/future-students/course-entry/creative-arts-portfolio-entry</w:t>
              </w:r>
            </w:hyperlink>
            <w:r>
              <w:rPr>
                <w:lang w:val="af"/>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af"/>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af"/>
                </w:rPr>
                <w:t>https://www.murdoch.edu.au/study/pathways-to-uni/enabling-pathways/experience-based-entry/media-portfolio</w:t>
              </w:r>
            </w:hyperlink>
            <w:r>
              <w:rPr>
                <w:lang w:val="af"/>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af"/>
        </w:rPr>
        <w:t>Roetes en ondersteuning vir Aborigine- en Torres Strait Eiland studente</w:t>
      </w:r>
    </w:p>
    <w:p w14:paraId="5FF3D6A9" w14:textId="596FCCEB" w:rsidR="00296F74" w:rsidRPr="00BE43AE" w:rsidRDefault="00296F74" w:rsidP="00F70FDB">
      <w:pPr>
        <w:spacing w:after="120" w:line="259" w:lineRule="auto"/>
        <w:rPr>
          <w:rFonts w:eastAsia="Arial"/>
          <w:b/>
          <w:bCs/>
          <w:spacing w:val="-2"/>
        </w:rPr>
      </w:pPr>
      <w:r>
        <w:rPr>
          <w:szCs w:val="22"/>
          <w:lang w:val="af"/>
        </w:rPr>
        <w:t xml:space="preserve">Universiteite bied gespesialiseerde bemagtigingsroetes wat spesifiek ontwerp is vir voornemende Aborigine- en Torres Strait Eiland studente, wat gemik is op die ondersteuning van individue en hul gemeenskappe om hul onderrigambisies te vervul.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af"/>
              </w:rPr>
              <w:t>Universiteit</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af"/>
              </w:rPr>
              <w:t>Curtin</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3" w:history="1">
              <w:r>
                <w:rPr>
                  <w:rStyle w:val="Hyperlink"/>
                  <w:shd w:val="clear" w:color="auto" w:fill="FFFFFF"/>
                  <w:lang w:val="a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af"/>
              </w:rPr>
              <w:t>Edith Cowan</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4" w:history="1">
              <w:r>
                <w:rPr>
                  <w:rStyle w:val="Hyperlink"/>
                  <w:lang w:val="af"/>
                </w:rPr>
                <w:t>https://www.ecu.edu.au/degrees/aboriginal-and-or-torres-strait-islanders</w:t>
              </w:r>
            </w:hyperlink>
            <w:r>
              <w:rPr>
                <w:lang w:val="af"/>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af"/>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af"/>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5" w:history="1">
              <w:r>
                <w:rPr>
                  <w:rStyle w:val="Hyperlink"/>
                  <w:lang w:val="af"/>
                </w:rPr>
                <w:t>https://www.murdoch.edu.au/course/Enabling/N1077</w:t>
              </w:r>
            </w:hyperlink>
            <w:r>
              <w:rPr>
                <w:lang w:val="af"/>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af"/>
              </w:rPr>
              <w:t>Notre Dame Universiteit</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6" w:history="1">
              <w:r>
                <w:rPr>
                  <w:rStyle w:val="Hyperlink"/>
                  <w:lang w:val="af"/>
                </w:rPr>
                <w:t>https://www.notredame.edu.au/students/support/aboriginal-and-torres-strait-islander-support</w:t>
              </w:r>
            </w:hyperlink>
            <w:r>
              <w:rPr>
                <w:lang w:val="af"/>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af"/>
              </w:rPr>
              <w:t>Western Australia Universiteit</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r>
                <w:rPr>
                  <w:color w:val="0462C1"/>
                  <w:u w:val="single"/>
                  <w:lang w:val="af"/>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af"/>
        </w:rPr>
        <w:t>International Big Picture Learning Credential (IBPLC)</w:t>
      </w:r>
    </w:p>
    <w:p w14:paraId="7B941B8F" w14:textId="74C95C10" w:rsidR="00266A20" w:rsidRPr="00830D9A" w:rsidRDefault="00203DE5" w:rsidP="00203DE5">
      <w:pPr>
        <w:rPr>
          <w:szCs w:val="22"/>
        </w:rPr>
      </w:pPr>
      <w:r>
        <w:rPr>
          <w:lang w:val="af"/>
        </w:rPr>
        <w:t>Die IBPLC is ’n verpersoonlikte vorm van finalejaar assessering wat ’n wye verskeidenheid van vermoëns, ervarings en kenmerke meet en vaslê. Verskeie Australiese universiteite het plekke beskikbaar vir gegradueerdes met hierdie verwysingsdokument.</w:t>
      </w:r>
    </w:p>
    <w:p w14:paraId="592AB710" w14:textId="23029E3C" w:rsidR="00203DE5" w:rsidRPr="009F3FC4" w:rsidRDefault="00266A20" w:rsidP="00037E99">
      <w:pPr>
        <w:spacing w:before="120"/>
        <w:rPr>
          <w:color w:val="313131"/>
          <w:szCs w:val="22"/>
        </w:rPr>
      </w:pPr>
      <w:hyperlink r:id="rId38" w:history="1">
        <w:r>
          <w:rPr>
            <w:rStyle w:val="Hyperlink"/>
            <w:szCs w:val="22"/>
            <w:lang w:val="af"/>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af"/>
        </w:rPr>
        <w:t>Ervaringsgebaseerde toelating</w:t>
      </w:r>
    </w:p>
    <w:p w14:paraId="25E6D505" w14:textId="485258A7" w:rsidR="00F321C6" w:rsidRDefault="00D33C0E" w:rsidP="004C3145">
      <w:pPr>
        <w:spacing w:after="120"/>
      </w:pPr>
      <w:r>
        <w:rPr>
          <w:lang w:val="af"/>
        </w:rPr>
        <w:t>Studente mag oorweeg word vir toelating tot ’n voorgraadse kursus deur ’n universiteitsassessering van hul vermoë om sukses te behaal in hoër onderwys, gebaseer op bewyse wat verskaf is.</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af"/>
              </w:rPr>
              <w:t>Universiteit</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af"/>
              </w:rPr>
              <w:t>Webblad</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af"/>
              </w:rPr>
              <w:t>Edith Cowan</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af"/>
                </w:rPr>
                <w:t>https://www.ecu.edu.au/future-students/course-entry/experience-based-entry-scheme</w:t>
              </w:r>
            </w:hyperlink>
            <w:r>
              <w:rPr>
                <w:rStyle w:val="Hyperlink"/>
                <w:lang w:val="af"/>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af"/>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lang w:val="af"/>
                </w:rPr>
                <w:t>https://www.murdoch.edu.au/study/pathways-to-uni/enabling-pathways/experience-based-entry</w:t>
              </w:r>
            </w:hyperlink>
            <w:r>
              <w:rPr>
                <w:lang w:val="af"/>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af"/>
              </w:rPr>
              <w:t>Notre Dame Universiteit</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af"/>
                </w:rPr>
                <w:t>https://www.notredame.edu.au/study/applications-and-admissions/pathways/other-entry-pathways</w:t>
              </w:r>
            </w:hyperlink>
            <w:r>
              <w:rPr>
                <w:lang w:val="af"/>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af"/>
              </w:rPr>
              <w:t>Western Australia Universiteit</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lang w:val="af"/>
                </w:rPr>
                <w:t>https://www.uwa.edu.au/study/How-to-apply/Admission-entry-pathways/Experience-based-entry</w:t>
              </w:r>
            </w:hyperlink>
            <w:r>
              <w:rPr>
                <w:color w:val="0462C1"/>
                <w:u w:val="single"/>
                <w:lang w:val="af"/>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af"/>
        </w:rPr>
        <w:t>The Tertiary Institutions Service Centre (Die Tersiêre Inrigting Dienssentrum - 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lang w:val="af"/>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af"/>
        </w:rPr>
        <w:t>TISC verskaf die volgende dienste:</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af"/>
        </w:rPr>
        <w:t>Verwerking van</w:t>
      </w:r>
      <w:r>
        <w:rPr>
          <w:rFonts w:eastAsia="Times New Roman"/>
          <w:b/>
          <w:bCs/>
          <w:szCs w:val="22"/>
          <w:lang w:val="af"/>
        </w:rPr>
        <w:t xml:space="preserve"> </w:t>
      </w:r>
      <w:hyperlink r:id="rId44" w:history="1">
        <w:r>
          <w:rPr>
            <w:rStyle w:val="Hyperlink"/>
            <w:rFonts w:eastAsia="Times New Roman"/>
            <w:szCs w:val="22"/>
            <w:shd w:val="clear" w:color="auto" w:fill="FFFFFF"/>
            <w:lang w:val="af"/>
          </w:rPr>
          <w:t>aansoeke</w:t>
        </w:r>
      </w:hyperlink>
      <w:r>
        <w:rPr>
          <w:rStyle w:val="Hyperlink"/>
          <w:rFonts w:eastAsia="Times New Roman"/>
          <w:b/>
          <w:bCs/>
          <w:szCs w:val="22"/>
          <w:u w:val="none"/>
          <w:shd w:val="clear" w:color="auto" w:fill="FFFFFF"/>
          <w:lang w:val="af"/>
        </w:rPr>
        <w:t xml:space="preserve"> </w:t>
      </w:r>
      <w:r>
        <w:rPr>
          <w:rFonts w:eastAsia="Times New Roman"/>
          <w:szCs w:val="22"/>
          <w:lang w:val="af"/>
        </w:rPr>
        <w:t>vir toelating tot voorgraadse kursusse by bogenoemde universiteite.</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af"/>
        </w:rPr>
        <w:t>Uitvoering van die Spesiale Tersiêre Toelatingstoets (The Special Tertiary Admissions Test)</w:t>
      </w:r>
      <w:r>
        <w:rPr>
          <w:rFonts w:eastAsia="Times New Roman"/>
          <w:b/>
          <w:bCs/>
          <w:szCs w:val="22"/>
          <w:lang w:val="af"/>
        </w:rPr>
        <w:t xml:space="preserve"> (</w:t>
      </w:r>
      <w:hyperlink r:id="rId45" w:history="1">
        <w:r w:rsidRPr="0066610A">
          <w:rPr>
            <w:rStyle w:val="Hyperlink"/>
            <w:rFonts w:eastAsia="Times New Roman"/>
            <w:szCs w:val="22"/>
            <w:shd w:val="clear" w:color="auto" w:fill="FFFFFF"/>
            <w:lang w:val="af"/>
          </w:rPr>
          <w:t>STAT</w:t>
        </w:r>
      </w:hyperlink>
      <w:r>
        <w:rPr>
          <w:rFonts w:eastAsia="Times New Roman"/>
          <w:b/>
          <w:bCs/>
          <w:szCs w:val="22"/>
          <w:lang w:val="af"/>
        </w:rPr>
        <w:t>).</w:t>
      </w:r>
    </w:p>
    <w:p w14:paraId="4864D53A" w14:textId="4D206858" w:rsidR="00532B84" w:rsidRPr="00BE43AE" w:rsidRDefault="00532B84" w:rsidP="008358E7">
      <w:pPr>
        <w:numPr>
          <w:ilvl w:val="0"/>
          <w:numId w:val="26"/>
        </w:numPr>
        <w:ind w:left="723"/>
        <w:rPr>
          <w:rFonts w:eastAsia="Times New Roman"/>
          <w:szCs w:val="22"/>
        </w:rPr>
      </w:pPr>
      <w:r>
        <w:rPr>
          <w:rFonts w:eastAsia="Times New Roman"/>
          <w:szCs w:val="22"/>
          <w:lang w:val="af"/>
        </w:rPr>
        <w:t>Administrasie van die Wes-Australiese Universiteite se Grondslagprogram (Western Australian Universities’ Foundation Program</w:t>
      </w:r>
      <w:r w:rsidR="0066610A">
        <w:rPr>
          <w:rFonts w:eastAsia="Times New Roman"/>
          <w:szCs w:val="22"/>
          <w:lang w:val="af"/>
        </w:rPr>
        <w:t xml:space="preserve"> </w:t>
      </w:r>
      <w:hyperlink r:id="rId46" w:history="1">
        <w:r>
          <w:rPr>
            <w:rStyle w:val="Hyperlink"/>
            <w:rFonts w:eastAsia="Times New Roman"/>
            <w:szCs w:val="22"/>
            <w:shd w:val="clear" w:color="auto" w:fill="FFFFFF"/>
            <w:lang w:val="af"/>
          </w:rPr>
          <w:t>WAUFP</w:t>
        </w:r>
      </w:hyperlink>
      <w:r>
        <w:rPr>
          <w:rFonts w:eastAsia="Times New Roman"/>
          <w:szCs w:val="22"/>
          <w:lang w:val="af"/>
        </w:rPr>
        <w:t>).</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af"/>
        </w:rPr>
        <w:t xml:space="preserve">Periodieke publikasie van </w:t>
      </w:r>
      <w:hyperlink r:id="rId47" w:history="1">
        <w:r>
          <w:rPr>
            <w:rStyle w:val="Hyperlink"/>
            <w:rFonts w:eastAsia="Times New Roman"/>
            <w:szCs w:val="22"/>
            <w:shd w:val="clear" w:color="auto" w:fill="FFFFFF"/>
            <w:lang w:val="af"/>
          </w:rPr>
          <w:t>Skool</w:t>
        </w:r>
        <w:r w:rsidRPr="0066610A">
          <w:rPr>
            <w:rStyle w:val="Hyperlink"/>
            <w:shd w:val="clear" w:color="auto" w:fill="FFFFFF"/>
            <w:lang w:val="af"/>
          </w:rPr>
          <w:t xml:space="preserve"> omsendbriewe</w:t>
        </w:r>
      </w:hyperlink>
      <w:r>
        <w:rPr>
          <w:rFonts w:eastAsia="Times New Roman"/>
          <w:szCs w:val="22"/>
          <w:lang w:val="af"/>
        </w:rPr>
        <w:t>.</w:t>
      </w:r>
    </w:p>
    <w:p w14:paraId="5AB11B5F" w14:textId="610B6290" w:rsidR="00532B84" w:rsidRPr="00BE43AE" w:rsidRDefault="00532B84" w:rsidP="008358E7">
      <w:pPr>
        <w:numPr>
          <w:ilvl w:val="0"/>
          <w:numId w:val="26"/>
        </w:numPr>
        <w:ind w:left="723"/>
        <w:rPr>
          <w:rFonts w:eastAsia="Times New Roman"/>
          <w:szCs w:val="22"/>
        </w:rPr>
      </w:pPr>
      <w:hyperlink r:id="rId48" w:history="1">
        <w:r>
          <w:rPr>
            <w:rStyle w:val="Hyperlink"/>
            <w:rFonts w:eastAsia="Times New Roman"/>
            <w:szCs w:val="22"/>
            <w:shd w:val="clear" w:color="auto" w:fill="FFFFFF"/>
            <w:lang w:val="af"/>
          </w:rPr>
          <w:t>Op- of afskaling</w:t>
        </w:r>
      </w:hyperlink>
      <w:r>
        <w:rPr>
          <w:rFonts w:eastAsia="Times New Roman"/>
          <w:szCs w:val="22"/>
          <w:lang w:val="af"/>
        </w:rPr>
        <w:t xml:space="preserve"> van WACE-resultate en die berekening van </w:t>
      </w:r>
      <w:hyperlink r:id="rId49" w:history="1">
        <w:r w:rsidRPr="0066610A">
          <w:rPr>
            <w:rStyle w:val="Hyperlink"/>
            <w:rFonts w:eastAsia="Times New Roman"/>
            <w:szCs w:val="22"/>
            <w:shd w:val="clear" w:color="auto" w:fill="FFFFFF"/>
            <w:lang w:val="af"/>
          </w:rPr>
          <w:t>ATAR</w:t>
        </w:r>
      </w:hyperlink>
      <w:r>
        <w:rPr>
          <w:rFonts w:eastAsia="Times New Roman"/>
          <w:szCs w:val="22"/>
          <w:lang w:val="af"/>
        </w:rPr>
        <w:t xml:space="preserve"> vir studente in WA.</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af"/>
        </w:rPr>
        <w:t>TISC verskaf ’n verskeidenheid van hulpbronne wat u nuttig mag vind, insluitend ’n jaarlikse universiteitstoelatingsbrosjure met vereistes en roete-opsies.</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lang w:val="af"/>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af"/>
        </w:rPr>
        <w:t>Educational Access Scheme (Onderrigtoegangskema)</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af"/>
        </w:rPr>
        <w:t>Die Onderrigtoegangskema (Educational Access Scheme - EAS) is gemik op aansoekers wat voorgraadse toelating wil verkry tot WA universiteite en wat gedurende hulle senior sekondêre skoolloopbaan uitsonderlike omstandighede ondervind het wat hul Jaar-11/12 studievlak nadelig beïnvloed het. Hulle kan aansoek doen vir spesiale vergunning. Indien dit goedgekeur word, kan dit hulle help om toelating tot universiteitstudies te verkry.</w:t>
      </w:r>
    </w:p>
    <w:p w14:paraId="557D99D1" w14:textId="77777777" w:rsidR="00194F5F" w:rsidRDefault="00194F5F" w:rsidP="00194F5F">
      <w:pPr>
        <w:pStyle w:val="BodyText"/>
        <w:spacing w:before="120"/>
        <w:rPr>
          <w:shd w:val="clear" w:color="auto" w:fill="FFFFFF"/>
        </w:rPr>
      </w:pPr>
      <w:hyperlink r:id="rId51" w:history="1">
        <w:r>
          <w:rPr>
            <w:rStyle w:val="Hyperlink"/>
            <w:lang w:val="af"/>
          </w:rPr>
          <w:t>https://tisc.edu.au/static/guide/eas.tisc</w:t>
        </w:r>
      </w:hyperlink>
      <w:r>
        <w:rPr>
          <w:lang w:val="af"/>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af"/>
      </w:rPr>
      <w:tab/>
    </w:r>
    <w:r>
      <w:rPr>
        <w:lang w:val="af"/>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D24/0269520</w:t>
        </w:r>
      </w:sdtContent>
    </w:sdt>
  </w:p>
  <w:p w14:paraId="3CC1B870" w14:textId="77A9C2A9" w:rsidR="000F6D5A" w:rsidRPr="008626AA" w:rsidRDefault="008626AA" w:rsidP="004C3145">
    <w:pPr>
      <w:pStyle w:val="Footer"/>
      <w:tabs>
        <w:tab w:val="right" w:pos="9638"/>
      </w:tabs>
    </w:pPr>
    <w:r>
      <w:rPr>
        <w:sz w:val="18"/>
        <w:szCs w:val="14"/>
        <w:lang w:val="af"/>
      </w:rPr>
      <w:tab/>
    </w:r>
    <w:r>
      <w:rPr>
        <w:sz w:val="18"/>
        <w:szCs w:val="14"/>
        <w:lang w:val="af"/>
      </w:rPr>
      <w:fldChar w:fldCharType="begin"/>
    </w:r>
    <w:r>
      <w:rPr>
        <w:sz w:val="18"/>
        <w:szCs w:val="14"/>
        <w:lang w:val="af"/>
      </w:rPr>
      <w:instrText xml:space="preserve"> PAGE   \* MERGEFORMAT </w:instrText>
    </w:r>
    <w:r>
      <w:rPr>
        <w:sz w:val="18"/>
        <w:szCs w:val="14"/>
        <w:lang w:val="af"/>
      </w:rPr>
      <w:fldChar w:fldCharType="separate"/>
    </w:r>
    <w:r>
      <w:rPr>
        <w:noProof/>
        <w:sz w:val="18"/>
        <w:szCs w:val="14"/>
        <w:lang w:val="af"/>
      </w:rPr>
      <w:t>2</w:t>
    </w:r>
    <w:r>
      <w:rPr>
        <w:sz w:val="18"/>
        <w:szCs w:val="14"/>
        <w:lang w:val="af"/>
      </w:rPr>
      <w:fldChar w:fldCharType="end"/>
    </w:r>
    <w:r>
      <w:rPr>
        <w:sz w:val="18"/>
        <w:szCs w:val="14"/>
        <w:lang w:val="af"/>
      </w:rPr>
      <w:tab/>
      <w:t>March 2024</w:t>
    </w:r>
    <w:r>
      <w:rPr>
        <w:lang w:val="a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af"/>
      </w:rPr>
      <w:tab/>
    </w:r>
    <w:r>
      <w:rPr>
        <w:lang w:val="af"/>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D24/0269520</w:t>
        </w:r>
      </w:sdtContent>
    </w:sdt>
  </w:p>
  <w:p w14:paraId="0E2C46A7" w14:textId="46F53C80" w:rsidR="00AF71AF" w:rsidRPr="00F26894" w:rsidRDefault="00440775" w:rsidP="001E1668">
    <w:pPr>
      <w:pStyle w:val="Footer"/>
      <w:rPr>
        <w:sz w:val="18"/>
        <w:szCs w:val="14"/>
      </w:rPr>
    </w:pPr>
    <w:r>
      <w:rPr>
        <w:sz w:val="18"/>
        <w:szCs w:val="14"/>
        <w:lang w:val="af"/>
      </w:rPr>
      <w:tab/>
    </w:r>
    <w:r>
      <w:rPr>
        <w:sz w:val="18"/>
        <w:szCs w:val="14"/>
        <w:lang w:val="af"/>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af"/>
      </w:rPr>
      <w:tab/>
    </w:r>
    <w:r>
      <w:rPr>
        <w:lang w:val="af"/>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D24/0269520</w:t>
        </w:r>
      </w:sdtContent>
    </w:sdt>
  </w:p>
  <w:p w14:paraId="2F1BA65F" w14:textId="77777777" w:rsidR="00274C17" w:rsidRDefault="00274C17" w:rsidP="00274C17">
    <w:pPr>
      <w:pStyle w:val="Footer"/>
      <w:rPr>
        <w:sz w:val="18"/>
        <w:szCs w:val="14"/>
      </w:rPr>
    </w:pPr>
    <w:r>
      <w:rPr>
        <w:sz w:val="18"/>
        <w:szCs w:val="14"/>
        <w:lang w:val="af"/>
      </w:rPr>
      <w:tab/>
    </w:r>
    <w:r>
      <w:rPr>
        <w:sz w:val="18"/>
        <w:szCs w:val="14"/>
        <w:lang w:val="af"/>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7C13A39" w:rsidR="00916AF7" w:rsidRDefault="0066610A" w:rsidP="00127DAD">
    <w:pPr>
      <w:pStyle w:val="Header"/>
    </w:pPr>
    <w:r>
      <w:rPr>
        <w:noProof/>
      </w:rPr>
      <mc:AlternateContent>
        <mc:Choice Requires="wps">
          <w:drawing>
            <wp:anchor distT="45720" distB="45720" distL="114300" distR="114300" simplePos="0" relativeHeight="251660291" behindDoc="0" locked="0" layoutInCell="1" allowOverlap="1" wp14:anchorId="5AE38827" wp14:editId="1705ED1C">
              <wp:simplePos x="0" y="0"/>
              <wp:positionH relativeFrom="rightMargin">
                <wp:align>left</wp:align>
              </wp:positionH>
              <wp:positionV relativeFrom="paragraph">
                <wp:posOffset>-127000</wp:posOffset>
              </wp:positionV>
              <wp:extent cx="714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7A5F7D30" w14:textId="41245C4B" w:rsidR="0066610A" w:rsidRPr="0066610A" w:rsidRDefault="0066610A">
                          <w:pPr>
                            <w:rPr>
                              <w:color w:val="404040" w:themeColor="text1" w:themeTint="BF"/>
                              <w:sz w:val="18"/>
                              <w:szCs w:val="16"/>
                            </w:rPr>
                          </w:pPr>
                          <w:r w:rsidRPr="0066610A">
                            <w:rPr>
                              <w:color w:val="404040" w:themeColor="text1" w:themeTint="BF"/>
                              <w:sz w:val="18"/>
                              <w:szCs w:val="16"/>
                            </w:rPr>
                            <w:t>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38827" id="_x0000_t202" coordsize="21600,21600" o:spt="202" path="m,l,21600r21600,l21600,xe">
              <v:stroke joinstyle="miter"/>
              <v:path gradientshapeok="t" o:connecttype="rect"/>
            </v:shapetype>
            <v:shape id="Text Box 2" o:spid="_x0000_s1026" type="#_x0000_t202" style="position:absolute;margin-left:0;margin-top:-10pt;width:56.25pt;height:110.6pt;z-index:251660291;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" filled="f" stroked="f">
              <v:textbox style="mso-fit-shape-to-text:t">
                <w:txbxContent>
                  <w:p w14:paraId="7A5F7D30" w14:textId="41245C4B" w:rsidR="0066610A" w:rsidRPr="0066610A" w:rsidRDefault="0066610A">
                    <w:pPr>
                      <w:rPr>
                        <w:color w:val="404040" w:themeColor="text1" w:themeTint="BF"/>
                        <w:sz w:val="18"/>
                        <w:szCs w:val="16"/>
                      </w:rPr>
                    </w:pPr>
                    <w:r w:rsidRPr="0066610A">
                      <w:rPr>
                        <w:color w:val="404040" w:themeColor="text1" w:themeTint="BF"/>
                        <w:sz w:val="18"/>
                        <w:szCs w:val="16"/>
                      </w:rPr>
                      <w:t>Afrikaans</w:t>
                    </w:r>
                  </w:p>
                </w:txbxContent>
              </v:textbox>
              <w10:wrap type="square" anchorx="margin"/>
            </v:shape>
          </w:pict>
        </mc:Fallback>
      </mc:AlternateContent>
    </w:r>
    <w:r w:rsidR="00DD5BF0">
      <w:rPr>
        <w:noProof/>
        <w:lang w:val="a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a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C35BD"/>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0A"/>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01B0C"/>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4A1FC6"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A1FC6"/>
    <w:rsid w:val="004C60B5"/>
    <w:rsid w:val="004E331B"/>
    <w:rsid w:val="00544DDE"/>
    <w:rsid w:val="00582EC3"/>
    <w:rsid w:val="00716BF8"/>
    <w:rsid w:val="007B717F"/>
    <w:rsid w:val="00901B0C"/>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40DBACF2-A04D-42F4-A74F-8E8DDC6D56C0}"/>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11062</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2023-03-10T01:43:00Z</cp:lastPrinted>
  <dcterms:created xsi:type="dcterms:W3CDTF">2025-04-08T03:05:00Z</dcterms:created>
  <dcterms:modified xsi:type="dcterms:W3CDTF">2025-04-08T03:05:00Z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