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39173435" w:rsidR="001F4517" w:rsidRPr="00B444DF" w:rsidRDefault="00A509CC" w:rsidP="002C6A2D">
      <w:pPr>
        <w:pStyle w:val="Title"/>
        <w:tabs>
          <w:tab w:val="clear" w:pos="1276"/>
          <w:tab w:val="left" w:pos="2880"/>
        </w:tabs>
        <w:rPr>
          <w:bCs/>
          <w:color w:val="7030A0"/>
        </w:rPr>
      </w:pPr>
      <w:bookmarkStart w:id="0" w:name="_Hlk103166844"/>
      <w:bookmarkStart w:id="1" w:name="_Toc84334888"/>
      <w:r>
        <w:rPr>
          <w:noProof/>
        </w:rPr>
        <mc:AlternateContent>
          <mc:Choice Requires="wps">
            <w:drawing>
              <wp:anchor distT="45720" distB="45720" distL="114300" distR="114300" simplePos="0" relativeHeight="251659264" behindDoc="0" locked="0" layoutInCell="1" allowOverlap="1" wp14:anchorId="4A3A9B29" wp14:editId="2450BF2A">
                <wp:simplePos x="0" y="0"/>
                <wp:positionH relativeFrom="rightMargin">
                  <wp:posOffset>64770</wp:posOffset>
                </wp:positionH>
                <wp:positionV relativeFrom="paragraph">
                  <wp:posOffset>-781050</wp:posOffset>
                </wp:positionV>
                <wp:extent cx="742950" cy="2717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1780"/>
                        </a:xfrm>
                        <a:prstGeom prst="rect">
                          <a:avLst/>
                        </a:prstGeom>
                        <a:noFill/>
                        <a:ln w="9525">
                          <a:noFill/>
                          <a:miter lim="800000"/>
                          <a:headEnd/>
                          <a:tailEnd/>
                        </a:ln>
                      </wps:spPr>
                      <wps:txbx>
                        <w:txbxContent>
                          <w:p w14:paraId="05D0DF67" w14:textId="77777777" w:rsidR="00A509CC" w:rsidRPr="00B13B7E" w:rsidRDefault="00A509CC" w:rsidP="00A509CC">
                            <w:pPr>
                              <w:rPr>
                                <w:color w:val="404040" w:themeColor="text1" w:themeTint="BF"/>
                                <w:sz w:val="18"/>
                                <w:szCs w:val="16"/>
                                <w:lang w:val="en-US"/>
                              </w:rPr>
                            </w:pPr>
                            <w:r w:rsidRPr="00B13B7E">
                              <w:rPr>
                                <w:color w:val="404040" w:themeColor="text1" w:themeTint="BF"/>
                                <w:sz w:val="18"/>
                                <w:szCs w:val="16"/>
                                <w:lang w:val="en-US"/>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A9B29" id="_x0000_t202" coordsize="21600,21600" o:spt="202" path="m,l,21600r21600,l21600,xe">
                <v:stroke joinstyle="miter"/>
                <v:path gradientshapeok="t" o:connecttype="rect"/>
              </v:shapetype>
              <v:shape id="Text Box 2" o:spid="_x0000_s1026" type="#_x0000_t202" style="position:absolute;margin-left:5.1pt;margin-top:-61.5pt;width:58.5pt;height:21.4pt;z-index:25165926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" filled="f" stroked="f">
                <v:textbox style="mso-fit-shape-to-text:t">
                  <w:txbxContent>
                    <w:p w14:paraId="05D0DF67" w14:textId="77777777" w:rsidR="00A509CC" w:rsidRPr="00B13B7E" w:rsidRDefault="00A509CC" w:rsidP="00A509CC">
                      <w:pPr>
                        <w:rPr>
                          <w:color w:val="404040" w:themeColor="text1" w:themeTint="BF"/>
                          <w:sz w:val="18"/>
                          <w:szCs w:val="16"/>
                          <w:lang w:val="en-US"/>
                        </w:rPr>
                      </w:pPr>
                      <w:r w:rsidRPr="00B13B7E">
                        <w:rPr>
                          <w:color w:val="404040" w:themeColor="text1" w:themeTint="BF"/>
                          <w:sz w:val="18"/>
                          <w:szCs w:val="16"/>
                          <w:lang w:val="en-US"/>
                        </w:rPr>
                        <w:t>Japanese</w:t>
                      </w:r>
                    </w:p>
                  </w:txbxContent>
                </v:textbox>
                <w10:wrap anchorx="margin"/>
              </v:shape>
            </w:pict>
          </mc:Fallback>
        </mc:AlternateContent>
      </w:r>
      <w:r w:rsidR="00D545EC">
        <w:rPr>
          <w:bCs/>
          <w:color w:val="7030A0"/>
          <w:lang w:eastAsia="ja"/>
        </w:rPr>
        <w:t>障がいを持つ若者向け進路・キャリアに関する情報</w:t>
      </w:r>
    </w:p>
    <w:p w14:paraId="62D7A0A1" w14:textId="5FD4F97A" w:rsidR="00D85416" w:rsidRPr="00D85416" w:rsidRDefault="00D85416" w:rsidP="003D1C51">
      <w:pPr>
        <w:pStyle w:val="Title"/>
        <w:rPr>
          <w:color w:val="auto"/>
          <w:sz w:val="36"/>
          <w:szCs w:val="36"/>
        </w:rPr>
      </w:pPr>
      <w:r>
        <w:rPr>
          <w:bCs/>
          <w:color w:val="auto"/>
          <w:sz w:val="36"/>
          <w:szCs w:val="36"/>
          <w:lang w:eastAsia="ja"/>
        </w:rPr>
        <w:t>ご両親と保護者・介護者の皆様向けの情報</w:t>
      </w:r>
    </w:p>
    <w:p w14:paraId="14DB6264" w14:textId="57F592C8" w:rsidR="002278A9" w:rsidRDefault="009E1946" w:rsidP="002278A9">
      <w:pPr>
        <w:rPr>
          <w:rFonts w:ascii="Calibri" w:hAnsi="Calibri" w:cs="Calibri"/>
        </w:rPr>
      </w:pPr>
      <w:bookmarkStart w:id="2" w:name="_Toc88224274"/>
      <w:bookmarkEnd w:id="0"/>
      <w:bookmarkEnd w:id="1"/>
      <w:r>
        <w:rPr>
          <w:lang w:eastAsia="ja"/>
        </w:rPr>
        <w:t>すべての若者は夢や希望を抱き、学習課題に取り組み、首尾よく高等教育や継続教育への進学、または意義ある仕事へ就職できるように、進路・キャリア計画を立てることを奨励されています。</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eastAsia="ja"/>
        </w:rPr>
        <w:t>オーストラリア人の6人に1人が、障がいを抱えて暮らしています。すべての従業員と同様に、障がいを持つ人々は様々な職に就き、自らが持つ幅広いスキルや能力、資格を職場で活用しています。</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eastAsia="ja"/>
        </w:rPr>
        <w:t>就職することで、社会的ネットワークが広がり、生活水準が上がり、経済的自立が促され、自尊心が高まります。</w:t>
      </w:r>
    </w:p>
    <w:p w14:paraId="52E19F1E" w14:textId="77777777" w:rsidR="00DA4DB4" w:rsidRDefault="00DA4DB4" w:rsidP="00701C81">
      <w:pPr>
        <w:ind w:right="218"/>
        <w:rPr>
          <w:rFonts w:eastAsia="Arial"/>
          <w:szCs w:val="22"/>
        </w:rPr>
      </w:pPr>
    </w:p>
    <w:p w14:paraId="2B83F997" w14:textId="6941E5C8" w:rsidR="00EC60BC" w:rsidRDefault="00DA4DB4" w:rsidP="00EC60BC">
      <w:pPr>
        <w:ind w:right="218"/>
        <w:rPr>
          <w:rFonts w:eastAsia="Arial"/>
          <w:szCs w:val="22"/>
        </w:rPr>
      </w:pPr>
      <w:r>
        <w:rPr>
          <w:rFonts w:eastAsia="Arial"/>
          <w:szCs w:val="22"/>
          <w:lang w:eastAsia="ja"/>
        </w:rPr>
        <w:t>大学やTAFE、その他の職業訓練提供機関は、個人のニーズに合わせた支援と共に、様々な資格取得の機会を提供し、職業訓練の受講とインクルージョン（包括）が確実に実現するようにしています。</w:t>
      </w:r>
      <w:bookmarkEnd w:id="2"/>
    </w:p>
    <w:p w14:paraId="14CBC84B" w14:textId="77777777" w:rsidR="0007428E" w:rsidRDefault="0007428E" w:rsidP="00EC60BC">
      <w:pPr>
        <w:ind w:right="218"/>
        <w:rPr>
          <w:rFonts w:eastAsia="Arial"/>
          <w:szCs w:val="22"/>
        </w:rPr>
      </w:pPr>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eastAsia="ja"/>
              </w:rPr>
              <w:t>参考資料</w:t>
            </w:r>
          </w:p>
        </w:tc>
      </w:tr>
      <w:tr w:rsidR="003B342E" w:rsidRPr="00871B18"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eastAsia="ja"/>
              </w:rPr>
              <w:t>myfuture（マイフューチャー）</w:t>
            </w:r>
          </w:p>
        </w:tc>
        <w:tc>
          <w:tcPr>
            <w:tcW w:w="6371" w:type="dxa"/>
            <w:vAlign w:val="center"/>
          </w:tcPr>
          <w:p w14:paraId="11349F67" w14:textId="5FD60589" w:rsidR="003B342E"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eastAsia="ja"/>
              </w:rPr>
              <w:t>myfuture</w:t>
            </w:r>
            <w:r>
              <w:rPr>
                <w:color w:val="374258"/>
                <w:szCs w:val="22"/>
                <w:shd w:val="clear" w:color="auto" w:fill="FFFFFF"/>
                <w:lang w:eastAsia="ja"/>
              </w:rPr>
              <w:t>は、あらゆる進路・キャリアや機会を検討するための参考資料を提供しています。</w:t>
            </w:r>
            <w:r>
              <w:rPr>
                <w:color w:val="374258"/>
                <w:szCs w:val="22"/>
                <w:shd w:val="clear" w:color="auto" w:fill="FFFFFF"/>
                <w:lang w:eastAsia="ja"/>
              </w:rPr>
              <w:t>myfuture</w:t>
            </w:r>
            <w:r>
              <w:rPr>
                <w:color w:val="374258"/>
                <w:szCs w:val="22"/>
                <w:shd w:val="clear" w:color="auto" w:fill="FFFFFF"/>
                <w:lang w:eastAsia="ja"/>
              </w:rPr>
              <w:t>には、進路・キャリア計画を立てたり、意思決定を行ったりする際に役立つ自己認識力を身につけるためのツールが用意されています。</w:t>
            </w:r>
          </w:p>
          <w:p w14:paraId="1C83A6BF" w14:textId="77777777"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eastAsia="ja"/>
              </w:rPr>
              <w:t>ご両親と保護者・介護者の皆様向けの情報</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eastAsia="ja"/>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eastAsia="ja"/>
              </w:rPr>
              <w:t>Your Career（ユアキャリア）</w:t>
            </w:r>
          </w:p>
        </w:tc>
        <w:tc>
          <w:tcPr>
            <w:tcW w:w="6371" w:type="dxa"/>
            <w:vAlign w:val="center"/>
          </w:tcPr>
          <w:p w14:paraId="7FD0240F" w14:textId="12DC0BD3" w:rsidR="00E80ACA"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eastAsia="ja"/>
              </w:rPr>
              <w:t>Your Career</w:t>
            </w:r>
            <w:r>
              <w:rPr>
                <w:lang w:eastAsia="ja"/>
              </w:rPr>
              <w:t>には、インクルーシブなキャリアに関する参考情報のセクションがあり、業界や職業情報を含む、キャリアに関する情報の入手先として、お使いいただけます。</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eastAsia="ja"/>
                </w:rPr>
                <w:t>https://www.yourcareer.gov.au/resources/diverse-roles</w:t>
              </w:r>
            </w:hyperlink>
            <w:r>
              <w:rPr>
                <w:lang w:eastAsia="ja"/>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ind w:right="218"/>
              <w:rPr>
                <w:rFonts w:eastAsia="Arial"/>
                <w:szCs w:val="22"/>
              </w:rPr>
            </w:pPr>
            <w:r>
              <w:rPr>
                <w:szCs w:val="22"/>
                <w:lang w:eastAsia="ja"/>
              </w:rPr>
              <w:t>myWAY Employability</w:t>
            </w:r>
            <w:r>
              <w:rPr>
                <w:szCs w:val="22"/>
                <w:lang w:eastAsia="ja"/>
              </w:rPr>
              <w:t>（マイウェイ・エンプロイアビリティ）</w:t>
            </w:r>
          </w:p>
        </w:tc>
        <w:tc>
          <w:tcPr>
            <w:tcW w:w="6371"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eastAsia="ja"/>
              </w:rPr>
              <w:t>myWAY Employability</w:t>
            </w:r>
            <w:r>
              <w:rPr>
                <w:szCs w:val="22"/>
                <w:lang w:eastAsia="ja"/>
              </w:rPr>
              <w:t>は、自閉症を持つ若者が、将来を自分でコントロールし、仕事生活への準備を整えるために役立ちます。</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eastAsia="ja"/>
                </w:rPr>
                <w:t>https://mywayemployability.au/</w:t>
              </w:r>
            </w:hyperlink>
            <w:r>
              <w:rPr>
                <w:lang w:eastAsia="ja"/>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ind w:right="218"/>
              <w:rPr>
                <w:szCs w:val="22"/>
              </w:rPr>
            </w:pPr>
            <w:r>
              <w:rPr>
                <w:rFonts w:eastAsia="Arial"/>
                <w:szCs w:val="22"/>
                <w:lang w:eastAsia="ja"/>
              </w:rPr>
              <w:t>Disability Gateway（ディスアビリティ・ゲートウェイ）</w:t>
            </w:r>
          </w:p>
        </w:tc>
        <w:tc>
          <w:tcPr>
            <w:tcW w:w="6371" w:type="dxa"/>
            <w:vAlign w:val="center"/>
          </w:tcPr>
          <w:p w14:paraId="0FFB245A" w14:textId="3D431A0F"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eastAsia="ja"/>
              </w:rPr>
              <w:t>オーストラリア政府による</w:t>
            </w:r>
            <w:r>
              <w:rPr>
                <w:rFonts w:eastAsiaTheme="majorEastAsia"/>
                <w:lang w:eastAsia="ja"/>
              </w:rPr>
              <w:t>Disability Gateway</w:t>
            </w:r>
            <w:r>
              <w:rPr>
                <w:rFonts w:eastAsiaTheme="majorEastAsia"/>
                <w:lang w:eastAsia="ja"/>
              </w:rPr>
              <w:t>は、信頼できる情報を見つけ、最寄りのサービスとつながることができる、障がいを抱えて暮らす人々やその家族と保護者・介護者の皆様専用の役立つサービスです。</w:t>
            </w:r>
            <w:r>
              <w:rPr>
                <w:rFonts w:eastAsiaTheme="majorEastAsia"/>
                <w:lang w:eastAsia="ja"/>
              </w:rPr>
              <w:t xml:space="preserve">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eastAsia="ja"/>
                </w:rPr>
                <w:t>https://www.disabilitygateway.gov.au/</w:t>
              </w:r>
            </w:hyperlink>
          </w:p>
        </w:tc>
      </w:tr>
    </w:tbl>
    <w:tbl>
      <w:tblPr>
        <w:tblStyle w:val="DOETable12"/>
        <w:tblW w:w="9000" w:type="dxa"/>
        <w:tblInd w:w="-10"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ayout w:type="fixed"/>
        <w:tblLook w:val="04A0" w:firstRow="1" w:lastRow="0" w:firstColumn="1" w:lastColumn="0" w:noHBand="0" w:noVBand="1"/>
      </w:tblPr>
      <w:tblGrid>
        <w:gridCol w:w="2700"/>
        <w:gridCol w:w="6300"/>
      </w:tblGrid>
      <w:tr w:rsidR="00B823E2" w:rsidRPr="00871B18" w14:paraId="00A12A7B" w14:textId="77777777" w:rsidTr="002C6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eastAsia="ja"/>
              </w:rPr>
              <w:lastRenderedPageBreak/>
              <w:t>参考資料</w:t>
            </w:r>
          </w:p>
        </w:tc>
      </w:tr>
      <w:tr w:rsidR="00B823E2" w:rsidRPr="00491D75" w14:paraId="7ED4BAD5" w14:textId="77777777" w:rsidTr="002C6A2D">
        <w:trPr>
          <w:trHeight w:val="3008"/>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eastAsia="ja"/>
              </w:rPr>
              <w:t>障害者雇用サービス（Disability Employment Service：DES）</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eastAsia="ja"/>
              </w:rPr>
              <w:t>Job Access（ジョブアクセス）</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eastAsia="ja"/>
              </w:rPr>
              <w:t>DES提供者</w:t>
            </w:r>
          </w:p>
        </w:tc>
        <w:tc>
          <w:tcPr>
            <w:tcW w:w="6300" w:type="dxa"/>
            <w:vAlign w:val="center"/>
          </w:tcPr>
          <w:p w14:paraId="0765EC4B" w14:textId="65E8F9B9" w:rsidR="00B823E2" w:rsidRP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DESは、オーストラリア政府による雇用支援サービスで、障がいを持つ人々の雇用の確保・維持へ向けた雇用支援とサポートを提供しています。</w:t>
            </w:r>
          </w:p>
          <w:p w14:paraId="6C26AD9E"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Job Accessは、障がいを持つ人々向けの職場・雇用情報を提供する全国的な情報提供先であり、「障害者雇用の促進」を実現するための情報や参考資料を提供しています。</w:t>
            </w:r>
          </w:p>
          <w:p w14:paraId="740AB5F6"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eastAsia="ja"/>
                </w:rPr>
                <w:t>https://www.jobaccess.gov.au/</w:t>
              </w:r>
            </w:hyperlink>
          </w:p>
          <w:p w14:paraId="59F3A563"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293B4D" w14:textId="2251B188" w:rsidR="00800518" w:rsidRPr="00DA4DB4"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rPr>
                <w:lang w:eastAsia="ja"/>
              </w:rPr>
              <w:t>サービス提供者を探す：</w:t>
            </w:r>
            <w:hyperlink r:id="rId17" w:history="1">
              <w:r>
                <w:rPr>
                  <w:rStyle w:val="Hyperlink"/>
                  <w:rFonts w:cs="Arial"/>
                  <w:sz w:val="22"/>
                  <w:szCs w:val="22"/>
                  <w:lang w:eastAsia="ja"/>
                </w:rPr>
                <w:t>https</w:t>
              </w:r>
              <w:proofErr w:type="spellEnd"/>
              <w:r>
                <w:rPr>
                  <w:rStyle w:val="Hyperlink"/>
                  <w:rFonts w:cs="Arial"/>
                  <w:sz w:val="22"/>
                  <w:szCs w:val="22"/>
                  <w:lang w:eastAsia="ja"/>
                </w:rPr>
                <w:t>://www.jobaccess.gov.au/find-a-provider</w:t>
              </w:r>
            </w:hyperlink>
          </w:p>
        </w:tc>
      </w:tr>
      <w:tr w:rsidR="00B823E2" w:rsidRPr="00491D75" w14:paraId="3358DDFD" w14:textId="77777777" w:rsidTr="002C6A2D">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eastAsia="ja"/>
              </w:rPr>
              <w:t>全国障害者保険制度（National Disability Insurance Scheme：NDIS）</w:t>
            </w:r>
          </w:p>
        </w:tc>
        <w:tc>
          <w:tcPr>
            <w:tcW w:w="6300" w:type="dxa"/>
            <w:vAlign w:val="center"/>
          </w:tcPr>
          <w:p w14:paraId="0BBD4554" w14:textId="77777777" w:rsidR="00B823E2" w:rsidRPr="00EC60BC" w:rsidRDefault="00B823E2" w:rsidP="00F161EB">
            <w:pPr>
              <w:ind w:right="218"/>
              <w:cnfStyle w:val="000000010000" w:firstRow="0" w:lastRow="0" w:firstColumn="0" w:lastColumn="0" w:oddVBand="0" w:evenVBand="0" w:oddHBand="0" w:evenHBand="1" w:firstRowFirstColumn="0" w:firstRowLastColumn="0" w:lastRowFirstColumn="0" w:lastRowLastColumn="0"/>
            </w:pPr>
            <w:r>
              <w:rPr>
                <w:lang w:eastAsia="ja"/>
              </w:rPr>
              <w:t>NDIS</w:t>
            </w:r>
            <w:r>
              <w:rPr>
                <w:lang w:eastAsia="ja"/>
              </w:rPr>
              <w:t>では、生涯に渡るアプローチを採用しており、以後の人生における支援による成果を向上させるために、障がいを持つ人々や発達遅延のある子どもを対象として、早期支援を提供しています。</w:t>
            </w:r>
          </w:p>
          <w:p w14:paraId="2265B837" w14:textId="6160BAAF" w:rsidR="00800518" w:rsidRPr="00800518" w:rsidRDefault="00373694" w:rsidP="007705F2">
            <w:pPr>
              <w:pStyle w:val="Heading2"/>
              <w:spacing w:before="0"/>
              <w:cnfStyle w:val="000000010000" w:firstRow="0" w:lastRow="0" w:firstColumn="0" w:lastColumn="0" w:oddVBand="0" w:evenVBand="0" w:oddHBand="0" w:evenHBand="1" w:firstRowFirstColumn="0" w:firstRowLastColumn="0" w:lastRowFirstColumn="0" w:lastRowLastColumn="0"/>
            </w:pPr>
            <w:hyperlink r:id="rId18" w:history="1">
              <w:r>
                <w:rPr>
                  <w:rStyle w:val="Hyperlink"/>
                  <w:b w:val="0"/>
                  <w:sz w:val="22"/>
                  <w:szCs w:val="22"/>
                  <w:lang w:eastAsia="ja"/>
                </w:rPr>
                <w:t>https://www.ndis.gov.au/</w:t>
              </w:r>
            </w:hyperlink>
          </w:p>
        </w:tc>
      </w:tr>
      <w:tr w:rsidR="00B823E2" w:rsidRPr="00491D75" w14:paraId="2135A518" w14:textId="77777777" w:rsidTr="002C6A2D">
        <w:trPr>
          <w:trHeight w:val="2662"/>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eastAsia="ja"/>
              </w:rPr>
              <w:t>NDIS</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eastAsia="ja"/>
              </w:rPr>
              <w:t>卒業・退学者向け雇用支援（School Leaver Employment Support</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szCs w:val="22"/>
                <w:lang w:eastAsia="ja"/>
              </w:rPr>
              <w:t>(SLES）</w:t>
            </w:r>
          </w:p>
        </w:tc>
        <w:tc>
          <w:tcPr>
            <w:tcW w:w="6300" w:type="dxa"/>
            <w:vAlign w:val="center"/>
          </w:tcPr>
          <w:p w14:paraId="3E283D31" w14:textId="56A01534" w:rsidR="00B823E2" w:rsidRPr="00491D75"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NDISプランにSLESを組み入れておくと、利用者が学校生活から仕事生活へと移行する際に役立ち、在学最終年度と卒業・退学直後にご利用いただけます。</w:t>
            </w:r>
          </w:p>
          <w:p w14:paraId="28C06894" w14:textId="77777777"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78BF31" w14:textId="3CE9E0FF"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卒業・退学者向け雇用支援の支援提供者は、若者が就職準備、求職、就職をする際に、支援を提供します。これらの支援提供者は、個人に合わせた意義ある能力開発活動を提供することで、若者が就職に関する目標を達成できるように支援を提供します。</w:t>
            </w:r>
          </w:p>
          <w:p w14:paraId="335D6698" w14:textId="02327F4E" w:rsidR="00B823E2" w:rsidRPr="007705F2" w:rsidRDefault="00D00DEF" w:rsidP="00F161EB">
            <w:pPr>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rPr>
            </w:pPr>
            <w:hyperlink r:id="rId19" w:history="1">
              <w:r>
                <w:rPr>
                  <w:rStyle w:val="Hyperlink"/>
                  <w:lang w:eastAsia="ja"/>
                </w:rPr>
                <w:t>https://www.ndis.gov.au/providers/working-provider/delivering-capacity-building-employment-assistance</w:t>
              </w:r>
            </w:hyperlink>
            <w:r>
              <w:rPr>
                <w:lang w:eastAsia="ja"/>
              </w:rPr>
              <w:t xml:space="preserve"> </w:t>
            </w:r>
          </w:p>
        </w:tc>
      </w:tr>
      <w:tr w:rsidR="003D1C51" w:rsidRPr="00491D75" w14:paraId="22D5BC44" w14:textId="77777777" w:rsidTr="002C6A2D">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2ACABB25" w14:textId="77777777" w:rsidR="003D1C51" w:rsidRPr="00491D75" w:rsidRDefault="003D1C51" w:rsidP="00323F4C">
            <w:pPr>
              <w:widowControl w:val="0"/>
              <w:autoSpaceDE w:val="0"/>
              <w:autoSpaceDN w:val="0"/>
              <w:spacing w:before="5"/>
              <w:rPr>
                <w:rFonts w:eastAsia="Arial"/>
                <w:b w:val="0"/>
                <w:bCs w:val="0"/>
                <w:szCs w:val="22"/>
              </w:rPr>
            </w:pPr>
            <w:r>
              <w:rPr>
                <w:rFonts w:eastAsia="Arial"/>
                <w:szCs w:val="22"/>
                <w:lang w:eastAsia="ja"/>
              </w:rPr>
              <w:t>NDIS</w:t>
            </w:r>
          </w:p>
          <w:p w14:paraId="3E7A4179" w14:textId="77777777" w:rsidR="003D1C51" w:rsidRPr="00871B18" w:rsidRDefault="003D1C51" w:rsidP="00323F4C">
            <w:pPr>
              <w:widowControl w:val="0"/>
              <w:autoSpaceDE w:val="0"/>
              <w:autoSpaceDN w:val="0"/>
              <w:spacing w:before="5"/>
              <w:rPr>
                <w:rFonts w:eastAsia="Arial"/>
                <w:b w:val="0"/>
                <w:bCs w:val="0"/>
                <w:szCs w:val="22"/>
              </w:rPr>
            </w:pPr>
            <w:r>
              <w:rPr>
                <w:rFonts w:eastAsia="Arial"/>
                <w:szCs w:val="22"/>
                <w:lang w:eastAsia="ja"/>
              </w:rPr>
              <w:t>求職・雇用維持・転職</w:t>
            </w:r>
          </w:p>
        </w:tc>
        <w:tc>
          <w:tcPr>
            <w:tcW w:w="6300" w:type="dxa"/>
            <w:vAlign w:val="center"/>
          </w:tcPr>
          <w:p w14:paraId="732EA049" w14:textId="77777777" w:rsidR="003D1C51" w:rsidRPr="00701C81"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eastAsia="ja"/>
              </w:rPr>
              <w:t>以下のウェブサイトには、次の情報が含まれます。</w:t>
            </w:r>
          </w:p>
          <w:p w14:paraId="5EC80ED9"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仕事に関する検討・話し合い</w:t>
            </w:r>
          </w:p>
          <w:p w14:paraId="3BEE7E43"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卒業・退学</w:t>
            </w:r>
          </w:p>
          <w:p w14:paraId="476EAB9A"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就職準備</w:t>
            </w:r>
          </w:p>
          <w:p w14:paraId="7BBA15EC" w14:textId="77777777" w:rsidR="003D1C51" w:rsidRPr="00701C8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ボランティア活動</w:t>
            </w:r>
          </w:p>
          <w:p w14:paraId="5ADE725A" w14:textId="50334FBE" w:rsidR="003D1C51" w:rsidRPr="00871B18" w:rsidRDefault="003D1C51" w:rsidP="00F161EB">
            <w:pPr>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0" w:history="1">
              <w:r>
                <w:rPr>
                  <w:rStyle w:val="Hyperlink"/>
                  <w:rFonts w:eastAsia="Arial"/>
                  <w:szCs w:val="22"/>
                  <w:lang w:eastAsia="ja"/>
                </w:rPr>
                <w:t>https://www.ndis.gov.au/participants/finding-keeping-and-changing-jobs</w:t>
              </w:r>
            </w:hyperlink>
            <w:r>
              <w:rPr>
                <w:rFonts w:eastAsia="Arial"/>
                <w:szCs w:val="22"/>
                <w:lang w:eastAsia="ja"/>
              </w:rPr>
              <w:t xml:space="preserve"> </w:t>
            </w:r>
          </w:p>
        </w:tc>
      </w:tr>
    </w:tbl>
    <w:p w14:paraId="4F38F478" w14:textId="77777777" w:rsidR="00373694" w:rsidRPr="00373694" w:rsidRDefault="00373694" w:rsidP="00373694">
      <w:pPr>
        <w:rPr>
          <w:szCs w:val="22"/>
        </w:rPr>
      </w:pPr>
    </w:p>
    <w:sectPr w:rsidR="00373694" w:rsidRPr="00373694" w:rsidSect="00A509CC">
      <w:headerReference w:type="default" r:id="rId21"/>
      <w:footerReference w:type="default" r:id="rId22"/>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EE40" w14:textId="77777777" w:rsidR="002D68B9" w:rsidRDefault="002D68B9" w:rsidP="00127DAD">
      <w:r>
        <w:separator/>
      </w:r>
    </w:p>
    <w:p w14:paraId="799CECB5" w14:textId="77777777" w:rsidR="002D68B9" w:rsidRDefault="002D68B9"/>
  </w:endnote>
  <w:endnote w:type="continuationSeparator" w:id="0">
    <w:p w14:paraId="546BFECE" w14:textId="77777777" w:rsidR="002D68B9" w:rsidRDefault="002D68B9" w:rsidP="00127DAD">
      <w:r>
        <w:continuationSeparator/>
      </w:r>
    </w:p>
    <w:p w14:paraId="4E1B1621" w14:textId="77777777" w:rsidR="002D68B9" w:rsidRDefault="002D68B9"/>
  </w:endnote>
  <w:endnote w:type="continuationNotice" w:id="1">
    <w:p w14:paraId="4F36B37C" w14:textId="77777777" w:rsidR="002D68B9" w:rsidRDefault="002D6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eastAsia="ja"/>
      </w:rPr>
      <w:tab/>
    </w:r>
    <w:r>
      <w:rPr>
        <w:lang w:eastAsia="ja"/>
      </w:rPr>
      <w:tab/>
    </w:r>
    <w:r>
      <w:rPr>
        <w:sz w:val="18"/>
        <w:szCs w:val="14"/>
        <w:lang w:eastAsia="ja"/>
      </w:rPr>
      <w:t>D24/0265668</w:t>
    </w:r>
  </w:p>
  <w:p w14:paraId="2751E260" w14:textId="77777777" w:rsidR="000337D4" w:rsidRPr="00323F4C" w:rsidRDefault="000337D4" w:rsidP="00E66942">
    <w:pPr>
      <w:pStyle w:val="Footer"/>
      <w:rPr>
        <w:sz w:val="18"/>
        <w:szCs w:val="14"/>
      </w:rPr>
    </w:pPr>
    <w:r>
      <w:rPr>
        <w:sz w:val="18"/>
        <w:szCs w:val="14"/>
        <w:lang w:eastAsia="ja"/>
      </w:rPr>
      <w:tab/>
    </w:r>
    <w:r>
      <w:rPr>
        <w:sz w:val="18"/>
        <w:szCs w:val="14"/>
        <w:lang w:eastAsia="ja"/>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1FFE" w14:textId="77777777" w:rsidR="002D68B9" w:rsidRDefault="002D68B9" w:rsidP="00127DAD">
      <w:r>
        <w:separator/>
      </w:r>
    </w:p>
    <w:p w14:paraId="0DEA3954" w14:textId="77777777" w:rsidR="002D68B9" w:rsidRDefault="002D68B9"/>
  </w:footnote>
  <w:footnote w:type="continuationSeparator" w:id="0">
    <w:p w14:paraId="1678CDD3" w14:textId="77777777" w:rsidR="002D68B9" w:rsidRDefault="002D68B9" w:rsidP="00127DAD">
      <w:r>
        <w:continuationSeparator/>
      </w:r>
    </w:p>
    <w:p w14:paraId="337CD638" w14:textId="77777777" w:rsidR="002D68B9" w:rsidRDefault="002D68B9"/>
  </w:footnote>
  <w:footnote w:type="continuationNotice" w:id="1">
    <w:p w14:paraId="581B9E9A" w14:textId="77777777" w:rsidR="002D68B9" w:rsidRDefault="002D6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60DA9602" w:rsidR="000337D4" w:rsidRDefault="000337D4">
    <w:pPr>
      <w:pStyle w:val="Header"/>
    </w:pPr>
    <w:r>
      <w:rPr>
        <w:noProof/>
        <w:lang w:eastAsia="ja"/>
      </w:rPr>
      <w:drawing>
        <wp:anchor distT="0" distB="0" distL="114300" distR="114300" simplePos="0" relativeHeight="251664387" behindDoc="1" locked="0" layoutInCell="1" allowOverlap="1" wp14:anchorId="5CC4CAAF" wp14:editId="3CB9A936">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93999"/>
    <w:rsid w:val="002964D2"/>
    <w:rsid w:val="00297C14"/>
    <w:rsid w:val="002A426B"/>
    <w:rsid w:val="002C6A2D"/>
    <w:rsid w:val="002D10E1"/>
    <w:rsid w:val="002D49E6"/>
    <w:rsid w:val="002D68B9"/>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509CC"/>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B5551"/>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46E05627-DF81-47DB-B715-1E6664CABCDF}"/>
</file>

<file path=customXml/itemProps3.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901</Words>
  <Characters>1960</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1985</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4</cp:revision>
  <cp:lastPrinted>2023-02-24T00:01:00Z</cp:lastPrinted>
  <dcterms:created xsi:type="dcterms:W3CDTF">2025-02-19T02:15:00Z</dcterms:created>
  <dcterms:modified xsi:type="dcterms:W3CDTF">2025-04-09T08:02:00Z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3ab1b80f3ea7b163b3aed7803a7ac08954d2e848b15f0d8cb1f284b75cae146b</vt:lpwstr>
  </property>
</Properties>
</file>