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Default="00F926A5" w:rsidP="00733C11">
      <w:pPr>
        <w:pStyle w:val="Title"/>
        <w:bidi/>
        <w:rPr>
          <w:bCs/>
        </w:rPr>
      </w:pPr>
      <w:bookmarkStart w:id="0" w:name="_Hlk103166844"/>
      <w:bookmarkStart w:id="1" w:name="_Toc84334888"/>
      <w:r>
        <w:rPr>
          <w:bCs/>
          <w:rtl/>
          <w:lang w:bidi="ur"/>
        </w:rPr>
        <w:t>سال 11 اور 12 کے لیے انتخابات کرنا</w:t>
      </w:r>
    </w:p>
    <w:p w14:paraId="0D8B47A9" w14:textId="34D8B4A9" w:rsidR="00F926A5" w:rsidRPr="00AC269B" w:rsidRDefault="00F926A5" w:rsidP="00733C11">
      <w:pPr>
        <w:pStyle w:val="Title"/>
        <w:bidi/>
        <w:rPr>
          <w:bCs/>
        </w:rPr>
      </w:pPr>
      <w:r>
        <w:rPr>
          <w:bCs/>
          <w:color w:val="auto"/>
          <w:sz w:val="36"/>
          <w:szCs w:val="36"/>
          <w:rtl/>
          <w:lang w:bidi="ur"/>
        </w:rPr>
        <w:t>والدین اور دیکھ بھال کرنے والوں کے لیے معلومات</w:t>
      </w:r>
    </w:p>
    <w:bookmarkEnd w:id="0"/>
    <w:bookmarkEnd w:id="1"/>
    <w:p w14:paraId="02C42707" w14:textId="07912C4E" w:rsidR="00F926A5" w:rsidRPr="00F926A5" w:rsidRDefault="00F926A5" w:rsidP="00A10BB8">
      <w:pPr>
        <w:widowControl w:val="0"/>
        <w:autoSpaceDE w:val="0"/>
        <w:autoSpaceDN w:val="0"/>
        <w:bidi/>
        <w:spacing w:before="209"/>
        <w:ind w:right="166"/>
        <w:rPr>
          <w:rFonts w:eastAsia="Arial"/>
          <w:szCs w:val="22"/>
        </w:rPr>
      </w:pPr>
      <w:r>
        <w:rPr>
          <w:rFonts w:eastAsia="Arial"/>
          <w:szCs w:val="22"/>
          <w:rtl/>
          <w:lang w:bidi="ur"/>
        </w:rPr>
        <w:t>ممکن ہے کہ طلباء یونیورسٹی کی تعلیم میں دلچسپی رکھتے ہوں، ذہن میں ایک مخصوص کیریئر کے بارے میں سوچتے ہوں جس میں مزید تعلیم اور تربیت شامل ہوگی، یا اسکول چھوڑنے کے بعد افرادی قوت میں داخل ہونے کا ارادہ رکھتے ہوں۔ سال 11 اور 12 کے طلباء کے پاس اختیارات کی ایک وسیع رینج ہے جو یونیورسٹی، تربیت اور ملازمت کے لیے متعدد راستے فراہم کرتے ہیں۔</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F926A5" w:rsidRDefault="00F926A5" w:rsidP="00A10BB8">
      <w:pPr>
        <w:widowControl w:val="0"/>
        <w:autoSpaceDE w:val="0"/>
        <w:autoSpaceDN w:val="0"/>
        <w:bidi/>
        <w:rPr>
          <w:rFonts w:eastAsia="Arial"/>
          <w:b/>
          <w:color w:val="592C82"/>
          <w:sz w:val="26"/>
          <w:szCs w:val="22"/>
        </w:rPr>
      </w:pPr>
      <w:r>
        <w:rPr>
          <w:rFonts w:eastAsia="Arial"/>
          <w:b/>
          <w:bCs/>
          <w:color w:val="592C82"/>
          <w:sz w:val="26"/>
          <w:szCs w:val="22"/>
          <w:rtl/>
          <w:lang w:bidi="ur"/>
        </w:rPr>
        <w:t>سال 11 اور 12 کے لیے کورس اور پروگرام کے اختیارات</w:t>
      </w:r>
    </w:p>
    <w:p w14:paraId="0EF80CEA" w14:textId="77777777" w:rsidR="005007C0" w:rsidRDefault="005007C0" w:rsidP="005007C0"/>
    <w:tbl>
      <w:tblPr>
        <w:tblStyle w:val="DOETable1"/>
        <w:bidiVisual/>
        <w:tblW w:w="9069" w:type="dxa"/>
        <w:tblLook w:val="04A0" w:firstRow="1" w:lastRow="0" w:firstColumn="1" w:lastColumn="0" w:noHBand="0" w:noVBand="1"/>
      </w:tblPr>
      <w:tblGrid>
        <w:gridCol w:w="1696"/>
        <w:gridCol w:w="7373"/>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pPr>
              <w:bidi/>
            </w:pPr>
            <w:r>
              <w:rPr>
                <w:rtl/>
                <w:lang w:bidi="ur"/>
              </w:rPr>
              <w:t>اختیارات</w:t>
            </w:r>
          </w:p>
        </w:tc>
        <w:tc>
          <w:tcPr>
            <w:tcW w:w="7373" w:type="dxa"/>
            <w:hideMark/>
          </w:tcPr>
          <w:p w14:paraId="692BFB56" w14:textId="77777777" w:rsidR="005007C0" w:rsidRDefault="005007C0">
            <w:pPr>
              <w:bidi/>
              <w:cnfStyle w:val="100000000000" w:firstRow="1" w:lastRow="0" w:firstColumn="0" w:lastColumn="0" w:oddVBand="0" w:evenVBand="0" w:oddHBand="0" w:evenHBand="0" w:firstRowFirstColumn="0" w:firstRowLastColumn="0" w:lastRowFirstColumn="0" w:lastRowLastColumn="0"/>
            </w:pPr>
            <w:r>
              <w:rPr>
                <w:rtl/>
                <w:lang w:bidi="ur"/>
              </w:rPr>
              <w:t>تفصیلات</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pPr>
              <w:bidi/>
            </w:pPr>
            <w:r>
              <w:t>ATAR</w:t>
            </w:r>
            <w:r>
              <w:rPr>
                <w:rtl/>
                <w:lang w:bidi="ur"/>
              </w:rPr>
              <w:t xml:space="preserve"> کورسز</w:t>
            </w:r>
          </w:p>
        </w:tc>
        <w:tc>
          <w:tcPr>
            <w:tcW w:w="0" w:type="dxa"/>
            <w:vAlign w:val="center"/>
            <w:hideMark/>
          </w:tcPr>
          <w:p w14:paraId="6B9EC067" w14:textId="6019E3FE" w:rsidR="00DB2889" w:rsidRPr="003257AC" w:rsidRDefault="00F926A5" w:rsidP="005E7D74">
            <w:pPr>
              <w:bidi/>
              <w:cnfStyle w:val="000000000000" w:firstRow="0" w:lastRow="0" w:firstColumn="0" w:lastColumn="0" w:oddVBand="0" w:evenVBand="0" w:oddHBand="0" w:evenHBand="0" w:firstRowFirstColumn="0" w:firstRowLastColumn="0" w:lastRowFirstColumn="0" w:lastRowLastColumn="0"/>
              <w:rPr>
                <w:spacing w:val="-2"/>
              </w:rPr>
            </w:pPr>
            <w:r>
              <w:rPr>
                <w:rtl/>
                <w:lang w:bidi="ur"/>
              </w:rPr>
              <w:t>آسٹریلین ٹرشری ایڈمیشن رینک (</w:t>
            </w:r>
            <w:r>
              <w:t>ATAR</w:t>
            </w:r>
            <w:r>
              <w:rPr>
                <w:rtl/>
                <w:lang w:bidi="ur"/>
              </w:rPr>
              <w:t xml:space="preserve">) کورسز میں عام طور پر اکیڈمک فوکس ہوتا ہے۔ </w:t>
            </w:r>
            <w:r>
              <w:t>ATAR</w:t>
            </w:r>
            <w:r>
              <w:rPr>
                <w:rtl/>
                <w:lang w:bidi="ur"/>
              </w:rPr>
              <w:t xml:space="preserve"> حاصل کرنے کے خواہاں طلباء کو کم از کم  سالل 12 میں چار(4) </w:t>
            </w:r>
            <w:r>
              <w:t>ATAR</w:t>
            </w:r>
            <w:r>
              <w:rPr>
                <w:rtl/>
                <w:lang w:bidi="ur"/>
              </w:rPr>
              <w:t xml:space="preserve"> کورسز مکمل کرنے کی ضرورت ہوتی ہے۔ اگرچہ عام طور پرانہیں یونیورسٹی کی تعلیم تک رسائی حاصل کرنے کے لیے شروع کیا جاتا ہے، </w:t>
            </w:r>
            <w:r>
              <w:t>ATAR</w:t>
            </w:r>
            <w:r>
              <w:rPr>
                <w:rtl/>
                <w:lang w:bidi="ur"/>
              </w:rPr>
              <w:t xml:space="preserve"> کورسز اسکول کے بعد کے متعدد راستوں کے لیے بھی  بہترین تیاری ہیں، بشمول پیشہ ورانہ تربیت کے۔</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pPr>
              <w:bidi/>
            </w:pPr>
            <w:r>
              <w:rPr>
                <w:rtl/>
                <w:lang w:bidi="ur"/>
              </w:rPr>
              <w:t>جنرل کورسز</w:t>
            </w:r>
          </w:p>
        </w:tc>
        <w:tc>
          <w:tcPr>
            <w:tcW w:w="0" w:type="dxa"/>
            <w:vAlign w:val="center"/>
            <w:hideMark/>
          </w:tcPr>
          <w:p w14:paraId="1A064C8E" w14:textId="520756AC" w:rsidR="00DB2889"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ur"/>
              </w:rPr>
              <w:t xml:space="preserve">یہ کورسز بنیادی طور پر ان طلباء کے لیے ہیں جو عام طور پر مزید پیشہ ورانہ تربیت میں داخلہ لینا چاہتے ہیں یا اسکول چھوڑنے کے بعد افرادی قوت میں داخل ہونے کا ارادہ رکھتے ہیں۔ جنرل کورسز میں </w:t>
            </w:r>
            <w:r>
              <w:t>ATAR</w:t>
            </w:r>
            <w:r>
              <w:rPr>
                <w:rtl/>
                <w:lang w:bidi="ur"/>
              </w:rPr>
              <w:t xml:space="preserve"> کورسز کی طرح بیرونی طور پر مقررہ امتحانات نہیں ہوتے ہیں، لیکن ان میں سال 12 میں  بیرونی طور پر مقرر کردہ ایک لازمی ٹاسک ہوتا ہے جوکہ کسی طالب علم کی مجموعی تشخیص کا 15% ہوتا ہے۔ طلباء کچھ عمومی کورسز کو متبادل کے طور پر، یا اہل ہونے کے لیے، یونیورسٹی کے کچھ کورسز میں داخلے کے پاتھ وے کے طور پر استعمال کرنے کے قابل ہو سکتے ہیں۔</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pPr>
              <w:bidi/>
            </w:pPr>
            <w:r>
              <w:rPr>
                <w:rtl/>
                <w:lang w:bidi="ur"/>
              </w:rPr>
              <w:t>فاؤنڈیشن کورسز</w:t>
            </w:r>
          </w:p>
        </w:tc>
        <w:tc>
          <w:tcPr>
            <w:tcW w:w="0" w:type="dxa"/>
            <w:vAlign w:val="center"/>
            <w:hideMark/>
          </w:tcPr>
          <w:p w14:paraId="639E94E6" w14:textId="0A3A1D83" w:rsidR="00F926A5" w:rsidRPr="00F926A5" w:rsidRDefault="00F926A5" w:rsidP="005E7D74">
            <w:pPr>
              <w:bidi/>
              <w:cnfStyle w:val="000000000000" w:firstRow="0" w:lastRow="0" w:firstColumn="0" w:lastColumn="0" w:oddVBand="0" w:evenVBand="0" w:oddHBand="0" w:evenHBand="0" w:firstRowFirstColumn="0" w:firstRowLastColumn="0" w:lastRowFirstColumn="0" w:lastRowLastColumn="0"/>
            </w:pPr>
            <w:r>
              <w:rPr>
                <w:rtl/>
                <w:lang w:bidi="ur"/>
              </w:rPr>
              <w:t>انہیں ایسے طلبا کے لیے ڈیزائن کیا گیا ہے جنہیں سال 12 کے اختتام سے پہلے لٹریسی اور/یا حساب کے کم از کم معیارات حاصل کرنے کے لیے مدد کی ضرورت ہے۔ یہ کورسز فنکشنل لٹریسی اور عددی مہارتوں، عملی کام سے متعلق تجربے اور ذاتی مہارتوں کو تیار کرنے کا موقع فراہم کرتے ہیں جو زندگی اور کام کے لیے اہم ہیں۔</w:t>
            </w:r>
          </w:p>
          <w:p w14:paraId="194298FA" w14:textId="439B0616" w:rsidR="00DB2889" w:rsidRPr="0045201C" w:rsidRDefault="00F926A5" w:rsidP="005E7D74">
            <w:pPr>
              <w:bidi/>
              <w:cnfStyle w:val="000000000000" w:firstRow="0" w:lastRow="0" w:firstColumn="0" w:lastColumn="0" w:oddVBand="0" w:evenVBand="0" w:oddHBand="0" w:evenHBand="0" w:firstRowFirstColumn="0" w:firstRowLastColumn="0" w:lastRowFirstColumn="0" w:lastRowLastColumn="0"/>
            </w:pPr>
            <w:r>
              <w:rPr>
                <w:rtl/>
                <w:lang w:bidi="ur"/>
              </w:rPr>
              <w:t>فاؤنڈیشن کورسز میں امتحانات نہیں ہوتے۔ ان میں سال 12 میں بیرونی طور پر مقرر کردہ ایک لازمی ٹاسک ہوتا ہے جو اس کورس کے لیے طالب علم کی اسکول پر مبنی تشخیص کے 15% کے برابر ہوتا ہے۔</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pPr>
              <w:bidi/>
            </w:pPr>
            <w:r>
              <w:t>VET</w:t>
            </w:r>
            <w:r>
              <w:rPr>
                <w:rtl/>
                <w:lang w:bidi="ur"/>
              </w:rPr>
              <w:t xml:space="preserve"> کوالیفیکیشنز</w:t>
            </w:r>
          </w:p>
        </w:tc>
        <w:tc>
          <w:tcPr>
            <w:tcW w:w="0" w:type="dxa"/>
            <w:vAlign w:val="center"/>
            <w:hideMark/>
          </w:tcPr>
          <w:p w14:paraId="2089142A" w14:textId="3D91EB93" w:rsidR="00DB2889"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ur"/>
              </w:rPr>
              <w:t>طلباء قومی سطح پر تسلیم شدہ پیشہ ورانہ تعلیم اور تربیت (</w:t>
            </w:r>
            <w:r>
              <w:t>VET</w:t>
            </w:r>
            <w:r>
              <w:rPr>
                <w:rtl/>
                <w:lang w:bidi="ur"/>
              </w:rPr>
              <w:t xml:space="preserve">) کی ایک کوالیفیکیشن کو مکمل کرتے ہیں۔ </w:t>
            </w:r>
            <w:r>
              <w:t>VET</w:t>
            </w:r>
            <w:r>
              <w:rPr>
                <w:rtl/>
                <w:lang w:bidi="ur"/>
              </w:rPr>
              <w:t xml:space="preserve"> کام کی جگہ میں، اور اس کے لیے، مہارتوں اور علم کو فروغ دیتا ہے۔ طلباء ویسٹرن آسٹریلین سرٹیفکیٹ آف ایجوکیشن (</w:t>
            </w:r>
            <w:r>
              <w:t>WACE</w:t>
            </w:r>
            <w:r>
              <w:rPr>
                <w:rtl/>
                <w:lang w:bidi="ur"/>
              </w:rPr>
              <w:t xml:space="preserve">) کے حصول کے لیے </w:t>
            </w:r>
            <w:r>
              <w:t>VET</w:t>
            </w:r>
            <w:r>
              <w:rPr>
                <w:rtl/>
                <w:lang w:bidi="ur"/>
              </w:rPr>
              <w:t xml:space="preserve"> کوالیفیکیشنز کا استعمال کر سکتے ہیں۔</w:t>
            </w:r>
          </w:p>
        </w:tc>
      </w:tr>
    </w:tbl>
    <w:p w14:paraId="353A5361" w14:textId="199D8AAE" w:rsidR="00AB4166" w:rsidRDefault="00AB4166"/>
    <w:tbl>
      <w:tblPr>
        <w:tblStyle w:val="DOETable1"/>
        <w:bidiVisual/>
        <w:tblW w:w="9069" w:type="dxa"/>
        <w:tblLook w:val="0480" w:firstRow="0" w:lastRow="0" w:firstColumn="1" w:lastColumn="0" w:noHBand="0" w:noVBand="1"/>
      </w:tblPr>
      <w:tblGrid>
        <w:gridCol w:w="1696"/>
        <w:gridCol w:w="7373"/>
      </w:tblGrid>
      <w:tr w:rsidR="005007C0"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Default="00F926A5" w:rsidP="00567D4C">
            <w:pPr>
              <w:bidi/>
            </w:pPr>
            <w:r>
              <w:rPr>
                <w:rtl/>
                <w:lang w:bidi="ur"/>
              </w:rPr>
              <w:lastRenderedPageBreak/>
              <w:t>توثیق شدہ (</w:t>
            </w:r>
            <w:r>
              <w:t>Endorsed</w:t>
            </w:r>
            <w:r>
              <w:rPr>
                <w:rtl/>
                <w:lang w:bidi="ur"/>
              </w:rPr>
              <w:t>) پروگرام</w:t>
            </w:r>
          </w:p>
        </w:tc>
        <w:tc>
          <w:tcPr>
            <w:tcW w:w="7373" w:type="dxa"/>
            <w:vAlign w:val="center"/>
            <w:hideMark/>
          </w:tcPr>
          <w:p w14:paraId="099A0D81" w14:textId="23F7CFD3" w:rsidR="00DB2889" w:rsidRPr="005E7D74" w:rsidRDefault="00F926A5" w:rsidP="005E7D74">
            <w:pPr>
              <w:bidi/>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tl/>
                <w:lang w:bidi="ur"/>
              </w:rPr>
              <w:t xml:space="preserve">توثیق شدہ پروگرام ایسی سرگرمیوں کے ذریعے سیکھنے کی پیشکش کرتے ہیں جن کا احاطہ </w:t>
            </w:r>
            <w:r>
              <w:rPr>
                <w:color w:val="000000"/>
                <w:shd w:val="clear" w:color="auto" w:fill="FFFFFF"/>
              </w:rPr>
              <w:t>WACE</w:t>
            </w:r>
            <w:r>
              <w:rPr>
                <w:color w:val="000000"/>
                <w:shd w:val="clear" w:color="auto" w:fill="FFFFFF"/>
                <w:rtl/>
                <w:lang w:bidi="ur"/>
              </w:rPr>
              <w:t xml:space="preserve"> کورسز یا </w:t>
            </w:r>
            <w:r>
              <w:rPr>
                <w:color w:val="000000"/>
                <w:shd w:val="clear" w:color="auto" w:fill="FFFFFF"/>
              </w:rPr>
              <w:t>VET</w:t>
            </w:r>
            <w:r>
              <w:rPr>
                <w:color w:val="000000"/>
                <w:shd w:val="clear" w:color="auto" w:fill="FFFFFF"/>
                <w:rtl/>
                <w:lang w:bidi="ur"/>
              </w:rPr>
              <w:t xml:space="preserve"> پروگراموں میں نہیں ہوتا۔ توثیق شدہ پروگرام ان طلباء کے لیے ہیں جو ان پروگراموں میں حصہ لینا چاہتے ہیں جو اسکولوں، کام کی جگہوں، یونیورسٹیوں اور کمیونٹی تنظیموں کے ذریعے مختلف ترتیبات میں فراہم کیے جاتے ہیں۔توثیق شدہ پروگراموں کو اسکول کے نصاب کے حصے کے طور پر یا غیر نصابی سرگرمیوں کے طور پر پیش کیا جا سکتا ہے اور طالب علم انہیں </w:t>
            </w:r>
            <w:r>
              <w:rPr>
                <w:color w:val="000000"/>
                <w:shd w:val="clear" w:color="auto" w:fill="FFFFFF"/>
              </w:rPr>
              <w:t>WACE</w:t>
            </w:r>
            <w:r>
              <w:rPr>
                <w:color w:val="000000"/>
                <w:shd w:val="clear" w:color="auto" w:fill="FFFFFF"/>
                <w:rtl/>
                <w:lang w:bidi="ur"/>
              </w:rPr>
              <w:t xml:space="preserve"> کی کامیابی میں شمار کرنے کے لیے استعمال کر سکتے ہیں۔</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pPr>
              <w:bidi/>
            </w:pPr>
            <w:r>
              <w:rPr>
                <w:rtl/>
                <w:lang w:bidi="ur"/>
              </w:rPr>
              <w:t>ابتدائی (</w:t>
            </w:r>
            <w:r>
              <w:t>Preliminary</w:t>
            </w:r>
            <w:r>
              <w:rPr>
                <w:rtl/>
                <w:lang w:bidi="ur"/>
              </w:rPr>
              <w:t>) کورسز</w:t>
            </w:r>
          </w:p>
        </w:tc>
        <w:tc>
          <w:tcPr>
            <w:tcW w:w="7373" w:type="dxa"/>
            <w:vAlign w:val="center"/>
            <w:hideMark/>
          </w:tcPr>
          <w:p w14:paraId="24EC0142" w14:textId="08CA7EB6" w:rsidR="00F926A5" w:rsidRPr="00F926A5"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ur"/>
              </w:rPr>
              <w:t xml:space="preserve">ابتدائی کورسز ان طلباء کے لیے ڈیزائن کیے گئے ہیں جن کی شناخت ایسے افراد کے طور پر کی گئی ہو جنہیں سیکھنے میں دشواری اور/یا کوئی ذہنی معذوری لاحق ہو۔ یہ کورسز ان طلباء کے لیے اختیارات فراہم کرتے ہیں جو ایڈجسٹمنٹ اور/یا معذوری کے لیے کیے گئے اہتمام کے باوجود </w:t>
            </w:r>
            <w:r>
              <w:t>ATAR</w:t>
            </w:r>
            <w:r>
              <w:rPr>
                <w:rtl/>
                <w:lang w:bidi="ur"/>
              </w:rPr>
              <w:t>، جنرل یا فاؤنڈیشن کورس کے مواد تک رسائی حاصل نہیں کر سکتے۔</w:t>
            </w:r>
          </w:p>
          <w:p w14:paraId="53AA4D07" w14:textId="6028C291" w:rsidR="00DB2889" w:rsidRPr="005E7D74"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ur"/>
              </w:rPr>
              <w:t xml:space="preserve">ابتدائی یونٹس کو </w:t>
            </w:r>
            <w:r>
              <w:t>WACE</w:t>
            </w:r>
            <w:r>
              <w:rPr>
                <w:rtl/>
                <w:lang w:bidi="ur"/>
              </w:rPr>
              <w:t xml:space="preserve"> کے حصول کے لیے شمار نہیں کیا جاتا۔</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pPr>
        <w:bidi/>
      </w:pPr>
      <w:r>
        <w:separator/>
      </w:r>
    </w:p>
  </w:endnote>
  <w:endnote w:type="continuationSeparator" w:id="0">
    <w:p w14:paraId="6BFF8649" w14:textId="77777777" w:rsidR="009261FF" w:rsidRDefault="009261FF" w:rsidP="00127DA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bidi/>
      <w:rPr>
        <w:sz w:val="18"/>
        <w:szCs w:val="14"/>
      </w:rPr>
    </w:pPr>
    <w:r>
      <w:tab/>
    </w:r>
    <w:r>
      <w:tab/>
    </w:r>
    <w:sdt>
      <w:sdtPr>
        <w:rPr>
          <w:sz w:val="18"/>
          <w:szCs w:val="14"/>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D24/0256674</w:t>
        </w:r>
      </w:sdtContent>
    </w:sdt>
  </w:p>
  <w:p w14:paraId="3CC1B870" w14:textId="0C9C4C4C" w:rsidR="000F6D5A" w:rsidRPr="003E7296" w:rsidRDefault="008626AA" w:rsidP="008626AA">
    <w:pPr>
      <w:pStyle w:val="Footer"/>
      <w:bidi/>
      <w:rPr>
        <w:sz w:val="18"/>
        <w:szCs w:val="14"/>
      </w:rPr>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tl/>
        <w:lang w:bidi="ur"/>
      </w:rPr>
      <w:t>2</w:t>
    </w:r>
    <w:r>
      <w:rPr>
        <w:sz w:val="18"/>
        <w:szCs w:val="14"/>
      </w:rPr>
      <w:fldChar w:fldCharType="end"/>
    </w:r>
    <w:r>
      <w:rPr>
        <w:sz w:val="18"/>
        <w:szCs w:val="14"/>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bidi/>
      <w:rPr>
        <w:sz w:val="18"/>
        <w:szCs w:val="14"/>
      </w:rPr>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D24/0256674</w:t>
        </w:r>
      </w:sdtContent>
    </w:sdt>
  </w:p>
  <w:p w14:paraId="0E2C46A7" w14:textId="0337A0DE" w:rsidR="00AF71AF" w:rsidRPr="00FE0C8C" w:rsidRDefault="00440775" w:rsidP="001E1668">
    <w:pPr>
      <w:pStyle w:val="Footer"/>
      <w:bidi/>
      <w:rPr>
        <w:sz w:val="18"/>
        <w:szCs w:val="14"/>
      </w:rPr>
    </w:pPr>
    <w:r>
      <w:rPr>
        <w:color w:val="auto"/>
        <w:sz w:val="18"/>
        <w:szCs w:val="14"/>
      </w:rPr>
      <w:tab/>
    </w:r>
    <w:r>
      <w:rPr>
        <w:color w:val="auto"/>
        <w:sz w:val="18"/>
        <w:szCs w:val="14"/>
      </w:rPr>
      <w:tab/>
    </w:r>
    <w:r>
      <w:rPr>
        <w:sz w:val="18"/>
        <w:szCs w:val="14"/>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pPr>
        <w:bidi/>
      </w:pPr>
      <w:r>
        <w:separator/>
      </w:r>
    </w:p>
  </w:footnote>
  <w:footnote w:type="continuationSeparator" w:id="0">
    <w:p w14:paraId="5E5A24A9" w14:textId="77777777" w:rsidR="009261FF" w:rsidRDefault="009261FF" w:rsidP="00127DAD">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9901C41" w:rsidR="00916AF7" w:rsidRDefault="00946965"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800" behindDoc="0" locked="0" layoutInCell="1" allowOverlap="1" wp14:anchorId="6E9E8244" wp14:editId="50D2B3BF">
              <wp:simplePos x="0" y="0"/>
              <wp:positionH relativeFrom="rightMargin">
                <wp:posOffset>-123825</wp:posOffset>
              </wp:positionH>
              <wp:positionV relativeFrom="paragraph">
                <wp:posOffset>-74930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51F85241" w14:textId="77777777" w:rsidR="00946965" w:rsidRDefault="00946965" w:rsidP="00946965">
                          <w:pPr>
                            <w:rPr>
                              <w:color w:val="404040" w:themeColor="text1" w:themeTint="BF"/>
                              <w:sz w:val="18"/>
                              <w:szCs w:val="16"/>
                            </w:rPr>
                          </w:pPr>
                          <w:r>
                            <w:rPr>
                              <w:color w:val="404040" w:themeColor="text1" w:themeTint="BF"/>
                              <w:sz w:val="18"/>
                              <w:szCs w:val="16"/>
                            </w:rPr>
                            <w:t>Urdu</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E8244" id="_x0000_t202" coordsize="21600,21600" o:spt="202" path="m,l,21600r21600,l21600,xe">
              <v:stroke joinstyle="miter"/>
              <v:path gradientshapeok="t" o:connecttype="rect"/>
            </v:shapetype>
            <v:shape id="Text Box 1" o:spid="_x0000_s1026" type="#_x0000_t202" style="position:absolute;left:0;text-align:left;margin-left:-9.75pt;margin-top:-5.9pt;width:48.75pt;height:18.05pt;z-index:25166080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LlArKje&#10;AAAACQEAAA8AAABkcnMvZG93bnJldi54bWxMj01PwzAMhu9I/IfISNy2tOVjozSdJrSN42BUnLPG&#10;tBWNEzVZV/493glutvzo9fMWq8n2YsQhdI4UpPMEBFLtTEeNgupjO1uCCFGT0b0jVPCDAVbl9VWh&#10;c+PO9I7jITaCQyjkWkEbo8+lDHWLVoe580h8+3KD1ZHXoZFm0GcOt73MkuRRWt0Rf2i1x5cW6+/D&#10;ySrw0e8Wr8P+bb3Zjkn1uauyrtkodXszrZ9BRJziHwwXfVaHkp2O7kQmiF7BLH16YPQypNyBicWS&#10;yx0VZPd3IMtC/m9Q/gIAAP//AwBQSwECLQAUAAYACAAAACEAtoM4kv4AAADhAQAAEwAAAAAAAAAA&#10;AAAAAAAAAAAAW0NvbnRlbnRfVHlwZXNdLnhtbFBLAQItABQABgAIAAAAIQA4/SH/1gAAAJQBAAAL&#10;AAAAAAAAAAAAAAAAAC8BAABfcmVscy8ucmVsc1BLAQItABQABgAIAAAAIQA+0xGmBwIAAPQDAAAO&#10;AAAAAAAAAAAAAAAAAC4CAABkcnMvZTJvRG9jLnhtbFBLAQItABQABgAIAAAAIQC5QKyo3gAAAAkB&#10;AAAPAAAAAAAAAAAAAAAAAGEEAABkcnMvZG93bnJldi54bWxQSwUGAAAAAAQABADzAAAAbAUAAAAA&#10;" filled="f" stroked="f">
              <v:textbox style="mso-fit-shape-to-text:t">
                <w:txbxContent>
                  <w:p w14:paraId="51F85241" w14:textId="77777777" w:rsidR="00946965" w:rsidRDefault="00946965" w:rsidP="00946965">
                    <w:pPr>
                      <w:rPr>
                        <w:color w:val="404040" w:themeColor="text1" w:themeTint="BF"/>
                        <w:sz w:val="18"/>
                        <w:szCs w:val="16"/>
                      </w:rPr>
                    </w:pPr>
                    <w:r>
                      <w:rPr>
                        <w:color w:val="404040" w:themeColor="text1" w:themeTint="BF"/>
                        <w:sz w:val="18"/>
                        <w:szCs w:val="16"/>
                      </w:rPr>
                      <w:t>Urdu</w:t>
                    </w:r>
                  </w:p>
                </w:txbxContent>
              </v:textbox>
              <w10:wrap type="square" anchorx="margin"/>
            </v:shape>
          </w:pict>
        </mc:Fallback>
      </mc:AlternateContent>
    </w:r>
    <w:r w:rsidR="00DD5BF0">
      <w:rPr>
        <w:noProof/>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279D1"/>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46965"/>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46775"/>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702A54"/>
    <w:rsid w:val="00716BF8"/>
    <w:rsid w:val="00991E2F"/>
    <w:rsid w:val="00B46775"/>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2.xml><?xml version="1.0" encoding="utf-8"?>
<ds:datastoreItem xmlns:ds="http://schemas.openxmlformats.org/officeDocument/2006/customXml" ds:itemID="{B387FD5F-F552-4D16-AD4D-0291FDF58A3D}"/>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A2D9C805-7AD8-4979-B0A9-EB9EF3135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2025-04-09T00:13:00Z</dcterms:created>
  <dcterms:modified xsi:type="dcterms:W3CDTF">2025-04-09T00:13:00Z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