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rPr>
          <w:bCs/>
        </w:rPr>
      </w:pPr>
      <w:bookmarkStart w:id="0" w:name="_Hlk103166844"/>
      <w:bookmarkStart w:id="1" w:name="_Toc84334888"/>
      <w:r>
        <w:rPr>
          <w:bCs/>
          <w:lang w:eastAsia="ja"/>
        </w:rPr>
        <w:t>11</w:t>
      </w:r>
      <w:r>
        <w:rPr>
          <w:bCs/>
          <w:lang w:eastAsia="ja"/>
        </w:rPr>
        <w:t>年生と</w:t>
      </w:r>
      <w:r>
        <w:rPr>
          <w:bCs/>
          <w:lang w:eastAsia="ja"/>
        </w:rPr>
        <w:t>12</w:t>
      </w:r>
      <w:r>
        <w:rPr>
          <w:bCs/>
          <w:lang w:eastAsia="ja"/>
        </w:rPr>
        <w:t>年生向けの進路選択</w:t>
      </w:r>
    </w:p>
    <w:p w14:paraId="0D8B47A9" w14:textId="34D8B4A9" w:rsidR="00F926A5" w:rsidRPr="00AC269B" w:rsidRDefault="00F926A5" w:rsidP="00733C11">
      <w:pPr>
        <w:pStyle w:val="Title"/>
        <w:rPr>
          <w:bCs/>
        </w:rPr>
      </w:pPr>
      <w:r>
        <w:rPr>
          <w:bCs/>
          <w:color w:val="auto"/>
          <w:sz w:val="36"/>
          <w:szCs w:val="36"/>
          <w:lang w:eastAsia="ja"/>
        </w:rPr>
        <w:t>ご両親と保護者・介護者の皆様向けの情報</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lang w:eastAsia="ja"/>
        </w:rPr>
      </w:pPr>
      <w:r>
        <w:rPr>
          <w:rFonts w:eastAsia="Arial"/>
          <w:szCs w:val="22"/>
          <w:lang w:eastAsia="ja"/>
        </w:rPr>
        <w:t>学生は、大学進学を希望したり、継続教育や職業訓練を伴う特定の進路・キャリアを検討したり、学校卒業後に就職を予定したりしているでしょう。11年生と12年生の学生には、大学や職業訓練、就職などの多種多様な進路・キャリアの選択肢が用意されています。</w:t>
      </w:r>
    </w:p>
    <w:p w14:paraId="3A19F86E" w14:textId="77777777" w:rsidR="00F926A5" w:rsidRPr="00F926A5" w:rsidRDefault="00F926A5" w:rsidP="00F926A5">
      <w:pPr>
        <w:widowControl w:val="0"/>
        <w:autoSpaceDE w:val="0"/>
        <w:autoSpaceDN w:val="0"/>
        <w:spacing w:before="1"/>
        <w:rPr>
          <w:rFonts w:eastAsia="Arial"/>
          <w:szCs w:val="22"/>
          <w:lang w:eastAsia="ja"/>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eastAsia="ja"/>
        </w:rPr>
        <w:t>11年生と12年生の学生向けのコース・プログラムの選択肢</w:t>
      </w:r>
    </w:p>
    <w:p w14:paraId="0EF80CEA" w14:textId="77777777" w:rsidR="005007C0" w:rsidRDefault="005007C0" w:rsidP="005007C0"/>
    <w:tbl>
      <w:tblPr>
        <w:tblStyle w:val="DOETable1"/>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eastAsia="ja"/>
              </w:rPr>
              <w:t>選択肢</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eastAsia="ja"/>
              </w:rPr>
              <w:t>説明</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eastAsia="ja"/>
              </w:rPr>
              <w:t>ATAR</w:t>
            </w:r>
            <w:r>
              <w:rPr>
                <w:lang w:eastAsia="ja"/>
              </w:rPr>
              <w:t>コース</w:t>
            </w:r>
          </w:p>
        </w:tc>
        <w:tc>
          <w:tcPr>
            <w:tcW w:w="0" w:type="dxa"/>
            <w:vAlign w:val="center"/>
            <w:hideMark/>
          </w:tcPr>
          <w:p w14:paraId="6B9EC067" w14:textId="6019E3FE" w:rsidR="00DB2889" w:rsidRPr="003257AC" w:rsidRDefault="00F926A5" w:rsidP="005E7D74">
            <w:pPr>
              <w:cnfStyle w:val="000000000000" w:firstRow="0" w:lastRow="0" w:firstColumn="0" w:lastColumn="0" w:oddVBand="0" w:evenVBand="0" w:oddHBand="0" w:evenHBand="0" w:firstRowFirstColumn="0" w:firstRowLastColumn="0" w:lastRowFirstColumn="0" w:lastRowLastColumn="0"/>
              <w:rPr>
                <w:spacing w:val="-2"/>
                <w:lang w:eastAsia="ja"/>
              </w:rPr>
            </w:pPr>
            <w:r>
              <w:rPr>
                <w:lang w:eastAsia="ja"/>
              </w:rPr>
              <w:t>オーストラリア大学入学ランク（</w:t>
            </w:r>
            <w:r>
              <w:rPr>
                <w:lang w:eastAsia="ja"/>
              </w:rPr>
              <w:t>Australian Tertiary Admissions Rank</w:t>
            </w:r>
            <w:r>
              <w:rPr>
                <w:lang w:eastAsia="ja"/>
              </w:rPr>
              <w:t>：</w:t>
            </w:r>
            <w:r>
              <w:rPr>
                <w:lang w:eastAsia="ja"/>
              </w:rPr>
              <w:t>ATAR</w:t>
            </w:r>
            <w:r>
              <w:rPr>
                <w:lang w:eastAsia="ja"/>
              </w:rPr>
              <w:t>）コースは、通常、学術的な内容が中心となっています。</w:t>
            </w:r>
            <w:r>
              <w:rPr>
                <w:lang w:eastAsia="ja"/>
              </w:rPr>
              <w:t>ATAR</w:t>
            </w:r>
            <w:r>
              <w:rPr>
                <w:lang w:eastAsia="ja"/>
              </w:rPr>
              <w:t>を取得しようとする学生は、</w:t>
            </w:r>
            <w:r>
              <w:rPr>
                <w:lang w:eastAsia="ja"/>
              </w:rPr>
              <w:t>12</w:t>
            </w:r>
            <w:r>
              <w:rPr>
                <w:lang w:eastAsia="ja"/>
              </w:rPr>
              <w:t>年生在学中に</w:t>
            </w:r>
            <w:r>
              <w:rPr>
                <w:lang w:eastAsia="ja"/>
              </w:rPr>
              <w:t>ATAR</w:t>
            </w:r>
            <w:r>
              <w:rPr>
                <w:lang w:eastAsia="ja"/>
              </w:rPr>
              <w:t>コースを最低</w:t>
            </w:r>
            <w:r>
              <w:rPr>
                <w:lang w:eastAsia="ja"/>
              </w:rPr>
              <w:t>4</w:t>
            </w:r>
            <w:r>
              <w:rPr>
                <w:lang w:eastAsia="ja"/>
              </w:rPr>
              <w:t>コース修了する必要があります。</w:t>
            </w:r>
            <w:r>
              <w:rPr>
                <w:lang w:eastAsia="ja"/>
              </w:rPr>
              <w:t>ATAR</w:t>
            </w:r>
            <w:r>
              <w:rPr>
                <w:lang w:eastAsia="ja"/>
              </w:rPr>
              <w:t>コースは、通常、大学進学のために受講するコースですが、職業訓練などの学校卒業後の様々な進路への準備にも非常に役立ちます。</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eastAsia="ja"/>
              </w:rPr>
              <w:t>普通課程</w:t>
            </w:r>
          </w:p>
        </w:tc>
        <w:tc>
          <w:tcPr>
            <w:tcW w:w="0" w:type="dxa"/>
            <w:vAlign w:val="center"/>
            <w:hideMark/>
          </w:tcPr>
          <w:p w14:paraId="1A064C8E" w14:textId="520756AC" w:rsidR="00DB2889" w:rsidRDefault="00F926A5" w:rsidP="005E7D74">
            <w:pPr>
              <w:cnfStyle w:val="000000010000" w:firstRow="0" w:lastRow="0" w:firstColumn="0" w:lastColumn="0" w:oddVBand="0" w:evenVBand="0" w:oddHBand="0" w:evenHBand="1" w:firstRowFirstColumn="0" w:firstRowLastColumn="0" w:lastRowFirstColumn="0" w:lastRowLastColumn="0"/>
              <w:rPr>
                <w:lang w:eastAsia="ja"/>
              </w:rPr>
            </w:pPr>
            <w:r>
              <w:rPr>
                <w:lang w:eastAsia="ja"/>
              </w:rPr>
              <w:t>普通課程では主に、学校卒業後に、さらに職業訓練の受講や就職を目指している学生を対象としています。普通課程では、</w:t>
            </w:r>
            <w:r>
              <w:rPr>
                <w:lang w:eastAsia="ja"/>
              </w:rPr>
              <w:t>ATAR</w:t>
            </w:r>
            <w:r>
              <w:rPr>
                <w:lang w:eastAsia="ja"/>
              </w:rPr>
              <w:t>コースのような外部試験はありませんが、</w:t>
            </w:r>
            <w:r>
              <w:rPr>
                <w:lang w:eastAsia="ja"/>
              </w:rPr>
              <w:t>12</w:t>
            </w:r>
            <w:r>
              <w:rPr>
                <w:lang w:eastAsia="ja"/>
              </w:rPr>
              <w:t>年生在学中に、外部からの課題が必修となっており、これは学生の総合評価の</w:t>
            </w:r>
            <w:r>
              <w:rPr>
                <w:lang w:eastAsia="ja"/>
              </w:rPr>
              <w:t>15</w:t>
            </w:r>
            <w:r>
              <w:rPr>
                <w:lang w:eastAsia="ja"/>
              </w:rPr>
              <w:t>％に相当します。普通課程には、一部の大学コースに進学するためのパスウェイ（代替・進学準備コース）の一部として利用できるものもあります。</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eastAsia="ja"/>
              </w:rPr>
              <w:t>ファウンデーションコース</w:t>
            </w:r>
          </w:p>
        </w:tc>
        <w:tc>
          <w:tcPr>
            <w:tcW w:w="0" w:type="dxa"/>
            <w:vAlign w:val="center"/>
            <w:hideMark/>
          </w:tcPr>
          <w:p w14:paraId="639E94E6" w14:textId="0A3A1D83" w:rsidR="00F926A5" w:rsidRPr="00F926A5" w:rsidRDefault="00F926A5" w:rsidP="005E7D74">
            <w:pPr>
              <w:cnfStyle w:val="000000000000" w:firstRow="0" w:lastRow="0" w:firstColumn="0" w:lastColumn="0" w:oddVBand="0" w:evenVBand="0" w:oddHBand="0" w:evenHBand="0" w:firstRowFirstColumn="0" w:firstRowLastColumn="0" w:lastRowFirstColumn="0" w:lastRowLastColumn="0"/>
              <w:rPr>
                <w:lang w:eastAsia="ja"/>
              </w:rPr>
            </w:pPr>
            <w:r>
              <w:rPr>
                <w:lang w:eastAsia="ja"/>
              </w:rPr>
              <w:t>このコースは、</w:t>
            </w:r>
            <w:r>
              <w:rPr>
                <w:lang w:eastAsia="ja"/>
              </w:rPr>
              <w:t>12</w:t>
            </w:r>
            <w:r>
              <w:rPr>
                <w:lang w:eastAsia="ja"/>
              </w:rPr>
              <w:t>年生の終わりまでに、識字・計算能力の最低基準を満たすための支援を必要とする学生向けのコースです。このコースでは、機能的識字・計算能力と実践的な仕事関連の経験の取得に焦点を当て、日常生活や仕事において重要なパーソナルスキルを身につける機会を提供しています。</w:t>
            </w:r>
          </w:p>
          <w:p w14:paraId="194298FA" w14:textId="439B0616" w:rsidR="00DB2889" w:rsidRPr="0045201C" w:rsidRDefault="00F926A5" w:rsidP="005E7D74">
            <w:pPr>
              <w:cnfStyle w:val="000000000000" w:firstRow="0" w:lastRow="0" w:firstColumn="0" w:lastColumn="0" w:oddVBand="0" w:evenVBand="0" w:oddHBand="0" w:evenHBand="0" w:firstRowFirstColumn="0" w:firstRowLastColumn="0" w:lastRowFirstColumn="0" w:lastRowLastColumn="0"/>
            </w:pPr>
            <w:r>
              <w:rPr>
                <w:lang w:eastAsia="ja"/>
              </w:rPr>
              <w:t>ファウンデーションコースには、試験はありませんが、</w:t>
            </w:r>
            <w:r>
              <w:rPr>
                <w:lang w:eastAsia="ja"/>
              </w:rPr>
              <w:t>12</w:t>
            </w:r>
            <w:r>
              <w:rPr>
                <w:lang w:eastAsia="ja"/>
              </w:rPr>
              <w:t>年生在学中に、外部からの課題が必修となっており、これは学生の学校ベースの受講コースの評価の</w:t>
            </w:r>
            <w:r>
              <w:rPr>
                <w:lang w:eastAsia="ja"/>
              </w:rPr>
              <w:t>15</w:t>
            </w:r>
            <w:r>
              <w:rPr>
                <w:lang w:eastAsia="ja"/>
              </w:rPr>
              <w:t>％に相当します。</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eastAsia="ja"/>
              </w:rPr>
              <w:t>VET</w:t>
            </w:r>
            <w:r>
              <w:rPr>
                <w:lang w:eastAsia="ja"/>
              </w:rPr>
              <w:t>資格</w:t>
            </w:r>
          </w:p>
        </w:tc>
        <w:tc>
          <w:tcPr>
            <w:tcW w:w="0" w:type="dxa"/>
            <w:vAlign w:val="center"/>
            <w:hideMark/>
          </w:tcPr>
          <w:p w14:paraId="2089142A" w14:textId="3D91EB93" w:rsidR="00DB2889" w:rsidRDefault="00F926A5" w:rsidP="005E7D74">
            <w:pPr>
              <w:cnfStyle w:val="000000010000" w:firstRow="0" w:lastRow="0" w:firstColumn="0" w:lastColumn="0" w:oddVBand="0" w:evenVBand="0" w:oddHBand="0" w:evenHBand="1" w:firstRowFirstColumn="0" w:firstRowLastColumn="0" w:lastRowFirstColumn="0" w:lastRowLastColumn="0"/>
            </w:pPr>
            <w:r>
              <w:rPr>
                <w:lang w:eastAsia="ja"/>
              </w:rPr>
              <w:t>学生は、全国的に認められている職業教育訓練（</w:t>
            </w:r>
            <w:r>
              <w:rPr>
                <w:lang w:eastAsia="ja"/>
              </w:rPr>
              <w:t>Vocational Education and Training</w:t>
            </w:r>
            <w:r>
              <w:rPr>
                <w:lang w:eastAsia="ja"/>
              </w:rPr>
              <w:t>：</w:t>
            </w:r>
            <w:r>
              <w:rPr>
                <w:lang w:eastAsia="ja"/>
              </w:rPr>
              <w:t>VET</w:t>
            </w:r>
            <w:r>
              <w:rPr>
                <w:lang w:eastAsia="ja"/>
              </w:rPr>
              <w:t>）資格を取得することができます。</w:t>
            </w:r>
            <w:r>
              <w:rPr>
                <w:lang w:eastAsia="ja"/>
              </w:rPr>
              <w:t>VET</w:t>
            </w:r>
            <w:r>
              <w:rPr>
                <w:lang w:eastAsia="ja"/>
              </w:rPr>
              <w:t>では、仕事中または職場のために必要なスキルと知識を身につけることができます。学生は、</w:t>
            </w:r>
            <w:r>
              <w:rPr>
                <w:lang w:eastAsia="ja"/>
              </w:rPr>
              <w:t>VET</w:t>
            </w:r>
            <w:r>
              <w:rPr>
                <w:lang w:eastAsia="ja"/>
              </w:rPr>
              <w:t>資格を、西オーストラリア州教育修了証（</w:t>
            </w:r>
            <w:r>
              <w:rPr>
                <w:lang w:eastAsia="ja"/>
              </w:rPr>
              <w:t xml:space="preserve">Western </w:t>
            </w:r>
            <w:r>
              <w:rPr>
                <w:lang w:eastAsia="ja"/>
              </w:rPr>
              <w:lastRenderedPageBreak/>
              <w:t>Australian Certificate of Education</w:t>
            </w:r>
            <w:r>
              <w:rPr>
                <w:lang w:eastAsia="ja"/>
              </w:rPr>
              <w:t>：</w:t>
            </w:r>
            <w:r>
              <w:rPr>
                <w:lang w:eastAsia="ja"/>
              </w:rPr>
              <w:t>WACE</w:t>
            </w:r>
            <w:r>
              <w:rPr>
                <w:lang w:eastAsia="ja"/>
              </w:rPr>
              <w:t>）修了のための単位に加算することができます。</w:t>
            </w:r>
          </w:p>
        </w:tc>
      </w:tr>
    </w:tbl>
    <w:p w14:paraId="353A5361" w14:textId="199D8AAE" w:rsidR="00AB4166" w:rsidRDefault="00AB4166"/>
    <w:tbl>
      <w:tblPr>
        <w:tblStyle w:val="DOETable1"/>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r>
              <w:rPr>
                <w:lang w:eastAsia="ja"/>
              </w:rPr>
              <w:t>認定プログラム（</w:t>
            </w:r>
            <w:r>
              <w:rPr>
                <w:lang w:eastAsia="ja"/>
              </w:rPr>
              <w:t>Endorsed Program</w:t>
            </w:r>
            <w:r>
              <w:rPr>
                <w:lang w:eastAsia="ja"/>
              </w:rPr>
              <w:t>）</w:t>
            </w:r>
          </w:p>
        </w:tc>
        <w:tc>
          <w:tcPr>
            <w:tcW w:w="7373"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lang w:eastAsia="ja"/>
              </w:rPr>
            </w:pPr>
            <w:r>
              <w:rPr>
                <w:color w:val="000000"/>
                <w:shd w:val="clear" w:color="auto" w:fill="FFFFFF"/>
                <w:lang w:eastAsia="ja"/>
              </w:rPr>
              <w:t>認定プログラムでは、</w:t>
            </w:r>
            <w:r>
              <w:rPr>
                <w:color w:val="000000"/>
                <w:shd w:val="clear" w:color="auto" w:fill="FFFFFF"/>
                <w:lang w:eastAsia="ja"/>
              </w:rPr>
              <w:t>WACE</w:t>
            </w:r>
            <w:r>
              <w:rPr>
                <w:color w:val="000000"/>
                <w:shd w:val="clear" w:color="auto" w:fill="FFFFFF"/>
                <w:lang w:eastAsia="ja"/>
              </w:rPr>
              <w:t>コースや</w:t>
            </w:r>
            <w:r>
              <w:rPr>
                <w:color w:val="000000"/>
                <w:shd w:val="clear" w:color="auto" w:fill="FFFFFF"/>
                <w:lang w:eastAsia="ja"/>
              </w:rPr>
              <w:t>VET</w:t>
            </w:r>
            <w:r>
              <w:rPr>
                <w:color w:val="000000"/>
                <w:shd w:val="clear" w:color="auto" w:fill="FFFFFF"/>
                <w:lang w:eastAsia="ja"/>
              </w:rPr>
              <w:t>プログラムの対象外の活動を通した学習機会を提供しています。このプログラムは、学校や職場、大学、コミュニティー組織などの様々な環境で提供されているプログラムへの参加を希望する学生向けのプログラムです。学校のカリキュラムの一環または課外活動として受講することができ、学生は、本プログラムを</w:t>
            </w:r>
            <w:r>
              <w:rPr>
                <w:color w:val="000000"/>
                <w:shd w:val="clear" w:color="auto" w:fill="FFFFFF"/>
                <w:lang w:eastAsia="ja"/>
              </w:rPr>
              <w:t>WACE</w:t>
            </w:r>
            <w:r>
              <w:rPr>
                <w:color w:val="000000"/>
                <w:shd w:val="clear" w:color="auto" w:fill="FFFFFF"/>
                <w:lang w:eastAsia="ja"/>
              </w:rPr>
              <w:t>修了のための単位に加算することができます。</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r>
              <w:rPr>
                <w:lang w:eastAsia="ja"/>
              </w:rPr>
              <w:t>予備コース</w:t>
            </w:r>
          </w:p>
        </w:tc>
        <w:tc>
          <w:tcPr>
            <w:tcW w:w="7373" w:type="dxa"/>
            <w:vAlign w:val="center"/>
            <w:hideMark/>
          </w:tcPr>
          <w:p w14:paraId="24EC0142" w14:textId="08CA7EB6" w:rsidR="00F926A5" w:rsidRPr="00F926A5" w:rsidRDefault="00F926A5" w:rsidP="005E7D74">
            <w:pPr>
              <w:cnfStyle w:val="000000010000" w:firstRow="0" w:lastRow="0" w:firstColumn="0" w:lastColumn="0" w:oddVBand="0" w:evenVBand="0" w:oddHBand="0" w:evenHBand="1" w:firstRowFirstColumn="0" w:firstRowLastColumn="0" w:lastRowFirstColumn="0" w:lastRowLastColumn="0"/>
              <w:rPr>
                <w:lang w:eastAsia="ja"/>
              </w:rPr>
            </w:pPr>
            <w:r>
              <w:rPr>
                <w:lang w:eastAsia="ja"/>
              </w:rPr>
              <w:t>予備コースは、学習障害や知的障害を持つとされる学生向けのコースです。これらのコースは、</w:t>
            </w:r>
            <w:r>
              <w:rPr>
                <w:lang w:eastAsia="ja"/>
              </w:rPr>
              <w:t>ATAR</w:t>
            </w:r>
            <w:r>
              <w:rPr>
                <w:lang w:eastAsia="ja"/>
              </w:rPr>
              <w:t>コースや普通課程、ファウンデーションコースの内容に対して調整や障がいに対する配慮を利用できない学生向けの選択肢です。</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Pr>
                <w:lang w:eastAsia="ja"/>
              </w:rPr>
              <w:t>予備コースで取得したユニットは、</w:t>
            </w:r>
            <w:r>
              <w:rPr>
                <w:lang w:eastAsia="ja"/>
              </w:rPr>
              <w:t>WACE</w:t>
            </w:r>
            <w:r>
              <w:rPr>
                <w:lang w:eastAsia="ja"/>
              </w:rPr>
              <w:t>修了のための単位に加算することはできません。</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rPr>
        <w:sz w:val="18"/>
        <w:szCs w:val="14"/>
      </w:rPr>
    </w:pPr>
    <w:r>
      <w:rPr>
        <w:lang w:eastAsia="ja"/>
      </w:rPr>
      <w:tab/>
    </w:r>
    <w:r>
      <w:rPr>
        <w:lang w:eastAsia="j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D24/0256674</w:t>
        </w:r>
      </w:sdtContent>
    </w:sdt>
  </w:p>
  <w:p w14:paraId="3CC1B870" w14:textId="0C9C4C4C" w:rsidR="000F6D5A" w:rsidRPr="003E7296" w:rsidRDefault="008626AA" w:rsidP="008626AA">
    <w:pPr>
      <w:pStyle w:val="Footer"/>
      <w:rPr>
        <w:sz w:val="18"/>
        <w:szCs w:val="14"/>
      </w:rPr>
    </w:pPr>
    <w:r>
      <w:rPr>
        <w:sz w:val="18"/>
        <w:szCs w:val="14"/>
        <w:lang w:eastAsia="ja"/>
      </w:rPr>
      <w:tab/>
    </w:r>
    <w:r>
      <w:rPr>
        <w:sz w:val="18"/>
        <w:szCs w:val="14"/>
        <w:lang w:eastAsia="ja"/>
      </w:rPr>
      <w:fldChar w:fldCharType="begin"/>
    </w:r>
    <w:r>
      <w:rPr>
        <w:sz w:val="18"/>
        <w:szCs w:val="14"/>
        <w:lang w:eastAsia="ja"/>
      </w:rPr>
      <w:instrText xml:space="preserve"> PAGE   \* MERGEFORMAT </w:instrText>
    </w:r>
    <w:r>
      <w:rPr>
        <w:sz w:val="18"/>
        <w:szCs w:val="14"/>
        <w:lang w:eastAsia="ja"/>
      </w:rPr>
      <w:fldChar w:fldCharType="separate"/>
    </w:r>
    <w:r>
      <w:rPr>
        <w:noProof/>
        <w:sz w:val="18"/>
        <w:szCs w:val="14"/>
        <w:lang w:eastAsia="ja"/>
      </w:rPr>
      <w:t>2</w:t>
    </w:r>
    <w:r>
      <w:rPr>
        <w:sz w:val="18"/>
        <w:szCs w:val="14"/>
        <w:lang w:eastAsia="ja"/>
      </w:rPr>
      <w:fldChar w:fldCharType="end"/>
    </w:r>
    <w:r>
      <w:rPr>
        <w:sz w:val="18"/>
        <w:szCs w:val="14"/>
        <w:lang w:eastAsia="j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rPr>
        <w:sz w:val="18"/>
        <w:szCs w:val="14"/>
      </w:rP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D24/0256674</w:t>
        </w:r>
      </w:sdtContent>
    </w:sdt>
  </w:p>
  <w:p w14:paraId="0E2C46A7" w14:textId="0337A0DE" w:rsidR="00AF71AF" w:rsidRPr="00FE0C8C" w:rsidRDefault="00440775" w:rsidP="001E1668">
    <w:pPr>
      <w:pStyle w:val="Footer"/>
      <w:rPr>
        <w:sz w:val="18"/>
        <w:szCs w:val="14"/>
      </w:rPr>
    </w:pPr>
    <w:r>
      <w:rPr>
        <w:color w:val="auto"/>
        <w:sz w:val="18"/>
        <w:szCs w:val="14"/>
        <w:lang w:eastAsia="ja"/>
      </w:rPr>
      <w:tab/>
    </w:r>
    <w:r>
      <w:rPr>
        <w:color w:val="auto"/>
        <w:sz w:val="18"/>
        <w:szCs w:val="14"/>
        <w:lang w:eastAsia="ja"/>
      </w:rPr>
      <w:tab/>
    </w:r>
    <w:r>
      <w:rPr>
        <w:sz w:val="18"/>
        <w:szCs w:val="14"/>
        <w:lang w:eastAsia="j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6047E11" w:rsidR="00916AF7" w:rsidRDefault="005443CA" w:rsidP="00127DAD">
    <w:pPr>
      <w:pStyle w:val="Header"/>
    </w:pPr>
    <w:r>
      <w:rPr>
        <w:noProof/>
      </w:rPr>
      <mc:AlternateContent>
        <mc:Choice Requires="wps">
          <w:drawing>
            <wp:anchor distT="45720" distB="45720" distL="114300" distR="114300" simplePos="0" relativeHeight="251660800" behindDoc="0" locked="0" layoutInCell="1" allowOverlap="1" wp14:anchorId="75651442" wp14:editId="3802B002">
              <wp:simplePos x="0" y="0"/>
              <wp:positionH relativeFrom="rightMargin">
                <wp:align>left</wp:align>
              </wp:positionH>
              <wp:positionV relativeFrom="paragraph">
                <wp:posOffset>-145415</wp:posOffset>
              </wp:positionV>
              <wp:extent cx="733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14:paraId="1FFCA757" w14:textId="33499323" w:rsidR="005443CA" w:rsidRPr="005443CA" w:rsidRDefault="005443CA">
                          <w:pPr>
                            <w:rPr>
                              <w:color w:val="404040" w:themeColor="text1" w:themeTint="BF"/>
                              <w:sz w:val="18"/>
                              <w:szCs w:val="16"/>
                            </w:rPr>
                          </w:pPr>
                          <w:r w:rsidRPr="005443CA">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51442" id="_x0000_t202" coordsize="21600,21600" o:spt="202" path="m,l,21600r21600,l21600,xe">
              <v:stroke joinstyle="miter"/>
              <v:path gradientshapeok="t" o:connecttype="rect"/>
            </v:shapetype>
            <v:shape id="Text Box 2" o:spid="_x0000_s1026" type="#_x0000_t202" style="position:absolute;margin-left:0;margin-top:-11.45pt;width:57.75pt;height:110.6pt;z-index:25166080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" filled="f" stroked="f">
              <v:textbox style="mso-fit-shape-to-text:t">
                <w:txbxContent>
                  <w:p w14:paraId="1FFCA757" w14:textId="33499323" w:rsidR="005443CA" w:rsidRPr="005443CA" w:rsidRDefault="005443CA">
                    <w:pPr>
                      <w:rPr>
                        <w:color w:val="404040" w:themeColor="text1" w:themeTint="BF"/>
                        <w:sz w:val="18"/>
                        <w:szCs w:val="16"/>
                      </w:rPr>
                    </w:pPr>
                    <w:r w:rsidRPr="005443CA">
                      <w:rPr>
                        <w:color w:val="404040" w:themeColor="text1" w:themeTint="BF"/>
                        <w:sz w:val="18"/>
                        <w:szCs w:val="16"/>
                      </w:rPr>
                      <w:t>Japanese</w:t>
                    </w:r>
                  </w:p>
                </w:txbxContent>
              </v:textbox>
              <w10:wrap type="square" anchorx="margin"/>
            </v:shape>
          </w:pict>
        </mc:Fallback>
      </mc:AlternateContent>
    </w:r>
    <w:r w:rsidR="00DD5BF0">
      <w:rPr>
        <w:noProof/>
        <w:lang w:eastAsia="ja"/>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443CA"/>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A5CE3"/>
    <w:rsid w:val="00BD0B3B"/>
    <w:rsid w:val="00BE5969"/>
    <w:rsid w:val="00BF7918"/>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A5CE3"/>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56B19-0126-4C00-9D4B-41AAAE36B0FA}"/>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A2D9C805-7AD8-4979-B0A9-EB9EF313543B}">
  <ds:schemaRefs>
    <ds:schemaRef ds:uri="http://purl.org/dc/elements/1.1/"/>
    <ds:schemaRef ds:uri="http://www.w3.org/XML/1998/namespace"/>
    <ds:schemaRef ds:uri="http://schemas.microsoft.com/office/infopath/2007/PartnerControls"/>
    <ds:schemaRef ds:uri="d6520638-0d4b-4f10-b9f9-cc818b5e466b"/>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07053F7-ABBB-4A18-BCAA-F847C480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2025-04-08T05:18:00Z</dcterms:created>
  <dcterms:modified xsi:type="dcterms:W3CDTF">2025-04-08T05:18:00Z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