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7907" w14:textId="77777777" w:rsidR="00B25456" w:rsidRPr="00BC5942" w:rsidRDefault="00F926A5" w:rsidP="00733C11">
      <w:pPr>
        <w:pStyle w:val="Title"/>
        <w:rPr>
          <w:bCs/>
          <w:sz w:val="46"/>
          <w:szCs w:val="46"/>
        </w:rPr>
      </w:pPr>
      <w:bookmarkStart w:id="0" w:name="_Hlk103166844"/>
      <w:bookmarkStart w:id="1" w:name="_Toc84334888"/>
      <w:r w:rsidRPr="00BC5942">
        <w:rPr>
          <w:bCs/>
          <w:sz w:val="46"/>
          <w:szCs w:val="46"/>
          <w:lang w:val="id"/>
        </w:rPr>
        <w:t>Membuat pilihan untuk Kelas 11 dan 12</w:t>
      </w:r>
    </w:p>
    <w:p w14:paraId="0D8B47A9" w14:textId="34D8B4A9" w:rsidR="00F926A5" w:rsidRPr="00AC269B" w:rsidRDefault="00F926A5" w:rsidP="00733C11">
      <w:pPr>
        <w:pStyle w:val="Title"/>
        <w:rPr>
          <w:bCs/>
        </w:rPr>
      </w:pPr>
      <w:r>
        <w:rPr>
          <w:b w:val="0"/>
          <w:color w:val="auto"/>
          <w:sz w:val="36"/>
          <w:szCs w:val="36"/>
          <w:lang w:val="id"/>
        </w:rPr>
        <w:t>Informasi untuk orangtua dan pengasuh</w:t>
      </w:r>
    </w:p>
    <w:bookmarkEnd w:id="0"/>
    <w:bookmarkEnd w:id="1"/>
    <w:p w14:paraId="02C42707" w14:textId="07912C4E" w:rsidR="00F926A5" w:rsidRPr="00F926A5" w:rsidRDefault="00F926A5" w:rsidP="00A10BB8">
      <w:pPr>
        <w:widowControl w:val="0"/>
        <w:autoSpaceDE w:val="0"/>
        <w:autoSpaceDN w:val="0"/>
        <w:spacing w:before="209"/>
        <w:ind w:right="166"/>
        <w:rPr>
          <w:rFonts w:eastAsia="Arial"/>
          <w:szCs w:val="22"/>
        </w:rPr>
      </w:pPr>
      <w:r>
        <w:rPr>
          <w:rFonts w:eastAsia="Arial"/>
          <w:szCs w:val="22"/>
          <w:lang w:val="id"/>
        </w:rPr>
        <w:t>Siswa mungkin tertarik untuk kuliah diuniversitas, memiliki rencana karier tertentu yang melibatkan pendidikan dan pelatihan lebih lanjut, atau ingin memasuki dunia kerja setelah lulus sekolah. Terdapat berbagai pilihan bagi siswa di Kelas 11 dan 12 yang menyediakan berbagai jalur menuju universitas, pelatihan, dan pekerjaan.</w:t>
      </w:r>
    </w:p>
    <w:p w14:paraId="3A19F86E" w14:textId="77777777" w:rsidR="00F926A5" w:rsidRPr="00F926A5" w:rsidRDefault="00F926A5" w:rsidP="00F926A5">
      <w:pPr>
        <w:widowControl w:val="0"/>
        <w:autoSpaceDE w:val="0"/>
        <w:autoSpaceDN w:val="0"/>
        <w:spacing w:before="1"/>
        <w:rPr>
          <w:rFonts w:eastAsia="Arial"/>
          <w:szCs w:val="22"/>
        </w:rPr>
      </w:pPr>
    </w:p>
    <w:p w14:paraId="115C7958" w14:textId="6FC1600B" w:rsidR="00F926A5" w:rsidRPr="00F926A5" w:rsidRDefault="00F926A5" w:rsidP="00A10BB8">
      <w:pPr>
        <w:widowControl w:val="0"/>
        <w:autoSpaceDE w:val="0"/>
        <w:autoSpaceDN w:val="0"/>
        <w:rPr>
          <w:rFonts w:eastAsia="Arial"/>
          <w:b/>
          <w:color w:val="592C82"/>
          <w:sz w:val="26"/>
          <w:szCs w:val="22"/>
        </w:rPr>
      </w:pPr>
      <w:r>
        <w:rPr>
          <w:rFonts w:eastAsia="Arial"/>
          <w:b/>
          <w:bCs/>
          <w:color w:val="592C82"/>
          <w:sz w:val="26"/>
          <w:szCs w:val="22"/>
          <w:lang w:val="id"/>
        </w:rPr>
        <w:t>Pilihan mata pelajaran dan program untuk Kelas 11 dan 12</w:t>
      </w:r>
    </w:p>
    <w:p w14:paraId="0EF80CEA" w14:textId="77777777" w:rsidR="005007C0" w:rsidRDefault="005007C0" w:rsidP="005007C0"/>
    <w:tbl>
      <w:tblPr>
        <w:tblStyle w:val="DOETable1"/>
        <w:tblW w:w="9069" w:type="dxa"/>
        <w:tblLook w:val="04A0" w:firstRow="1" w:lastRow="0" w:firstColumn="1" w:lastColumn="0" w:noHBand="0" w:noVBand="1"/>
      </w:tblPr>
      <w:tblGrid>
        <w:gridCol w:w="1696"/>
        <w:gridCol w:w="7373"/>
      </w:tblGrid>
      <w:tr w:rsidR="005007C0"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D76CDF8" w:rsidR="005007C0" w:rsidRDefault="00F926A5">
            <w:r>
              <w:rPr>
                <w:lang w:val="id"/>
              </w:rPr>
              <w:t>Pilihan</w:t>
            </w:r>
          </w:p>
        </w:tc>
        <w:tc>
          <w:tcPr>
            <w:tcW w:w="7373" w:type="dxa"/>
            <w:hideMark/>
          </w:tcPr>
          <w:p w14:paraId="692BFB56" w14:textId="77777777" w:rsidR="005007C0" w:rsidRDefault="005007C0">
            <w:pPr>
              <w:cnfStyle w:val="100000000000" w:firstRow="1" w:lastRow="0" w:firstColumn="0" w:lastColumn="0" w:oddVBand="0" w:evenVBand="0" w:oddHBand="0" w:evenHBand="0" w:firstRowFirstColumn="0" w:firstRowLastColumn="0" w:lastRowFirstColumn="0" w:lastRowLastColumn="0"/>
            </w:pPr>
            <w:r>
              <w:rPr>
                <w:lang w:val="id"/>
              </w:rPr>
              <w:t>Deskripsi</w:t>
            </w:r>
          </w:p>
        </w:tc>
      </w:tr>
      <w:tr w:rsidR="005007C0"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545845F6" w:rsidR="005007C0" w:rsidRDefault="00F926A5" w:rsidP="00D904A2">
            <w:r>
              <w:rPr>
                <w:lang w:val="id"/>
              </w:rPr>
              <w:t>Mata pelajaran ATAR</w:t>
            </w:r>
          </w:p>
        </w:tc>
        <w:tc>
          <w:tcPr>
            <w:tcW w:w="0" w:type="dxa"/>
            <w:vAlign w:val="center"/>
            <w:hideMark/>
          </w:tcPr>
          <w:p w14:paraId="6B9EC067" w14:textId="6019E3FE" w:rsidR="00DB2889" w:rsidRPr="003257AC" w:rsidRDefault="00F926A5" w:rsidP="005E7D74">
            <w:pPr>
              <w:cnfStyle w:val="000000000000" w:firstRow="0" w:lastRow="0" w:firstColumn="0" w:lastColumn="0" w:oddVBand="0" w:evenVBand="0" w:oddHBand="0" w:evenHBand="0" w:firstRowFirstColumn="0" w:firstRowLastColumn="0" w:lastRowFirstColumn="0" w:lastRowLastColumn="0"/>
              <w:rPr>
                <w:spacing w:val="-2"/>
              </w:rPr>
            </w:pPr>
            <w:r>
              <w:rPr>
                <w:lang w:val="id"/>
              </w:rPr>
              <w:t>Mata pelajaran ATAR (Australian Tertiary Admissions Rank) atau Peringkat Penerimaan Mahasiswa Tersier Australia biasanya fokus ke bidang akademis. Siswa yang ingin memperoleh ATAR perlu menyelesaikan minimal 4 mata kuliah ATAR Tahun 12. Meskipun ATAR biasanya digunakan untuk masuk universitas, mata peajaran ATAR juga merupakan persiapan yang sangat baik untuk berbagai jalur pasca sekolah, termasuk pelatihan kejuruan.</w:t>
            </w:r>
          </w:p>
        </w:tc>
      </w:tr>
      <w:tr w:rsidR="005007C0"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4F15F4F" w:rsidR="005007C0" w:rsidRDefault="00F926A5" w:rsidP="00D904A2">
            <w:r>
              <w:rPr>
                <w:lang w:val="id"/>
              </w:rPr>
              <w:t>Mata pelajaran umum (</w:t>
            </w:r>
            <w:r>
              <w:rPr>
                <w:i/>
                <w:iCs/>
                <w:lang w:val="id"/>
              </w:rPr>
              <w:t>general courses</w:t>
            </w:r>
            <w:r>
              <w:rPr>
                <w:lang w:val="id"/>
              </w:rPr>
              <w:t>)</w:t>
            </w:r>
          </w:p>
        </w:tc>
        <w:tc>
          <w:tcPr>
            <w:tcW w:w="0" w:type="dxa"/>
            <w:vAlign w:val="center"/>
            <w:hideMark/>
          </w:tcPr>
          <w:p w14:paraId="1A064C8E" w14:textId="520756AC" w:rsidR="00DB2889" w:rsidRDefault="00F926A5" w:rsidP="005E7D74">
            <w:pPr>
              <w:cnfStyle w:val="000000010000" w:firstRow="0" w:lastRow="0" w:firstColumn="0" w:lastColumn="0" w:oddVBand="0" w:evenVBand="0" w:oddHBand="0" w:evenHBand="1" w:firstRowFirstColumn="0" w:firstRowLastColumn="0" w:lastRowFirstColumn="0" w:lastRowLastColumn="0"/>
            </w:pPr>
            <w:r>
              <w:rPr>
                <w:lang w:val="id"/>
              </w:rPr>
              <w:t>Mata pelajaran ini terutama ditujukan bagi siswa yang biasanya ingin mengikuti pelatihan kejuruan lebih lanjut atau memasuki dunia kerja setelah lulus SMA. Mata pelajaran umum tidak memiliki ujian yang disusun secara eksternal seperti ATAR, tetapi menggunakan tugas wajib yang disusun secara eksternal di Kelas 12 yang nilainya 15% dari keseluruhan penilaian siswa. Siswa mungkin dapat menggunakan beberapa mata pelajaran umum sebagai bagian dari jalur masuk alternatif, atau jalur pendukung, ke beberapa jurusan di universitas.</w:t>
            </w:r>
          </w:p>
        </w:tc>
      </w:tr>
      <w:tr w:rsidR="005007C0"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53EC8704" w:rsidR="005007C0" w:rsidRDefault="00F926A5" w:rsidP="00D904A2">
            <w:r>
              <w:rPr>
                <w:lang w:val="id"/>
              </w:rPr>
              <w:t>Mata pelajaran Dasar (Foundation courses)</w:t>
            </w:r>
          </w:p>
        </w:tc>
        <w:tc>
          <w:tcPr>
            <w:tcW w:w="0" w:type="dxa"/>
            <w:vAlign w:val="center"/>
            <w:hideMark/>
          </w:tcPr>
          <w:p w14:paraId="639E94E6" w14:textId="0A3A1D83" w:rsidR="00F926A5" w:rsidRPr="00F926A5" w:rsidRDefault="00F926A5" w:rsidP="005E7D74">
            <w:pPr>
              <w:cnfStyle w:val="000000000000" w:firstRow="0" w:lastRow="0" w:firstColumn="0" w:lastColumn="0" w:oddVBand="0" w:evenVBand="0" w:oddHBand="0" w:evenHBand="0" w:firstRowFirstColumn="0" w:firstRowLastColumn="0" w:lastRowFirstColumn="0" w:lastRowLastColumn="0"/>
            </w:pPr>
            <w:r>
              <w:rPr>
                <w:lang w:val="id"/>
              </w:rPr>
              <w:t>Dirancang untuk siswa yang memerlukan dukungan untuk mencapai standar minimum literasi dan/atau numerasi sebelum akhir Kelas 12. Mata pelajaran ini berfokus pada keterampilan literasi dan numerasi fungsional, pengalaman praktis terkait pekerjaan, dan kesempatan untuk membangun keterampilan pribadi yang penting bagi kehidupan dan pekerjaan.</w:t>
            </w:r>
          </w:p>
          <w:p w14:paraId="194298FA" w14:textId="439B0616" w:rsidR="00DB2889" w:rsidRPr="0045201C" w:rsidRDefault="00F926A5" w:rsidP="005E7D74">
            <w:pPr>
              <w:cnfStyle w:val="000000000000" w:firstRow="0" w:lastRow="0" w:firstColumn="0" w:lastColumn="0" w:oddVBand="0" w:evenVBand="0" w:oddHBand="0" w:evenHBand="0" w:firstRowFirstColumn="0" w:firstRowLastColumn="0" w:lastRowFirstColumn="0" w:lastRowLastColumn="0"/>
            </w:pPr>
            <w:r>
              <w:rPr>
                <w:lang w:val="id"/>
              </w:rPr>
              <w:t>Mata pelajaran Foundation tidak memiliki ujian, tetapi menggunakan tugas wajib yang disusun secara eksternal di Tahun 12 yang nilainya 15% dari penilaian berbasis sekolah siswa untuk kursus tersebut.</w:t>
            </w:r>
          </w:p>
        </w:tc>
      </w:tr>
      <w:tr w:rsidR="005007C0"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88FD271" w14:textId="2D053B28" w:rsidR="005007C0" w:rsidRDefault="00F926A5" w:rsidP="00D904A2">
            <w:r>
              <w:rPr>
                <w:lang w:val="id"/>
              </w:rPr>
              <w:t>ualifikasi VET</w:t>
            </w:r>
          </w:p>
        </w:tc>
        <w:tc>
          <w:tcPr>
            <w:tcW w:w="0" w:type="dxa"/>
            <w:vAlign w:val="center"/>
            <w:hideMark/>
          </w:tcPr>
          <w:p w14:paraId="2089142A" w14:textId="3D91EB93" w:rsidR="00DB2889" w:rsidRDefault="00F926A5" w:rsidP="005E7D74">
            <w:pPr>
              <w:cnfStyle w:val="000000010000" w:firstRow="0" w:lastRow="0" w:firstColumn="0" w:lastColumn="0" w:oddVBand="0" w:evenVBand="0" w:oddHBand="0" w:evenHBand="1" w:firstRowFirstColumn="0" w:firstRowLastColumn="0" w:lastRowFirstColumn="0" w:lastRowLastColumn="0"/>
            </w:pPr>
            <w:r>
              <w:rPr>
                <w:lang w:val="id"/>
              </w:rPr>
              <w:t xml:space="preserve">Siswa menyelesaikan kualifikasi pendidikan dan pelatihan kejuruan (VET) yang diakui secara nasional. VET membangun keterampilan dan pengetahuan di, dan untuk, tempat kerja. Siswa dapat menggunakan kualifikasi VET untuk diperhitungkan dalam perolehan Sertifikat Pendidikan Australia Barat (WACE). </w:t>
            </w:r>
          </w:p>
        </w:tc>
      </w:tr>
    </w:tbl>
    <w:p w14:paraId="353A5361" w14:textId="199D8AAE" w:rsidR="00AB4166" w:rsidRDefault="00AB4166"/>
    <w:tbl>
      <w:tblPr>
        <w:tblStyle w:val="DOETable1"/>
        <w:tblW w:w="9069" w:type="dxa"/>
        <w:tblLook w:val="0480" w:firstRow="0" w:lastRow="0" w:firstColumn="1" w:lastColumn="0" w:noHBand="0" w:noVBand="1"/>
      </w:tblPr>
      <w:tblGrid>
        <w:gridCol w:w="1696"/>
        <w:gridCol w:w="7373"/>
      </w:tblGrid>
      <w:tr w:rsidR="005007C0" w:rsidRPr="00BC5942" w14:paraId="7604C42F" w14:textId="77777777" w:rsidTr="005E7D74">
        <w:trPr>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732FBE07" w14:textId="4216F62C" w:rsidR="005007C0" w:rsidRDefault="00F926A5" w:rsidP="00567D4C">
            <w:r>
              <w:rPr>
                <w:lang w:val="id"/>
              </w:rPr>
              <w:t>Program yang didukung (</w:t>
            </w:r>
            <w:r>
              <w:rPr>
                <w:i/>
                <w:iCs/>
                <w:lang w:val="id"/>
              </w:rPr>
              <w:t>endorsed</w:t>
            </w:r>
            <w:r>
              <w:rPr>
                <w:lang w:val="id"/>
              </w:rPr>
              <w:t>)</w:t>
            </w:r>
          </w:p>
        </w:tc>
        <w:tc>
          <w:tcPr>
            <w:tcW w:w="7373" w:type="dxa"/>
            <w:vAlign w:val="center"/>
            <w:hideMark/>
          </w:tcPr>
          <w:p w14:paraId="099A0D81" w14:textId="23F7CFD3" w:rsidR="00DB2889" w:rsidRPr="00BC5942" w:rsidRDefault="00F926A5" w:rsidP="005E7D74">
            <w:pPr>
              <w:cnfStyle w:val="000000000000" w:firstRow="0" w:lastRow="0" w:firstColumn="0" w:lastColumn="0" w:oddVBand="0" w:evenVBand="0" w:oddHBand="0" w:evenHBand="0" w:firstRowFirstColumn="0" w:firstRowLastColumn="0" w:lastRowFirstColumn="0" w:lastRowLastColumn="0"/>
              <w:rPr>
                <w:color w:val="000000"/>
                <w:shd w:val="clear" w:color="auto" w:fill="FFFFFF"/>
                <w:lang w:val="id"/>
              </w:rPr>
            </w:pPr>
            <w:r>
              <w:rPr>
                <w:color w:val="000000"/>
                <w:shd w:val="clear" w:color="auto" w:fill="FFFFFF"/>
                <w:lang w:val="id"/>
              </w:rPr>
              <w:t>Program ini menawarkan pembelajaran melalui kegiatan yang tidak tercakup dalam mata pelajaran WACE atau program VET. Program yang didukung diperuntukkan bagi siswa yang ingin berpartisipasi dalam program yang diselenggarakan di berbagai lingkungan oleh sekolah, tempat kerja, universitas, dan organisasi masyarakat.Program yang didukung dapat dijalankan sebagai bagian dari kurikulum sekolah atau sebagai kegiatan ekstrakurikuler dan siswa dapat menggunakannya untuk diperhitungkan dalam pencapaian WACE.</w:t>
            </w:r>
          </w:p>
        </w:tc>
      </w:tr>
      <w:tr w:rsidR="005007C0" w14:paraId="4759E201" w14:textId="77777777" w:rsidTr="005E7D74">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FE7335D" w14:textId="6B72BDF8" w:rsidR="005007C0" w:rsidRDefault="00F926A5" w:rsidP="00567D4C">
            <w:r>
              <w:rPr>
                <w:lang w:val="id"/>
              </w:rPr>
              <w:t>Mata pelajaran pendahuluan (preliminary courses)</w:t>
            </w:r>
          </w:p>
        </w:tc>
        <w:tc>
          <w:tcPr>
            <w:tcW w:w="7373" w:type="dxa"/>
            <w:vAlign w:val="center"/>
            <w:hideMark/>
          </w:tcPr>
          <w:p w14:paraId="24EC0142" w14:textId="08CA7EB6" w:rsidR="00F926A5" w:rsidRPr="00F926A5" w:rsidRDefault="00F926A5" w:rsidP="005E7D74">
            <w:pPr>
              <w:cnfStyle w:val="000000010000" w:firstRow="0" w:lastRow="0" w:firstColumn="0" w:lastColumn="0" w:oddVBand="0" w:evenVBand="0" w:oddHBand="0" w:evenHBand="1" w:firstRowFirstColumn="0" w:firstRowLastColumn="0" w:lastRowFirstColumn="0" w:lastRowLastColumn="0"/>
            </w:pPr>
            <w:r>
              <w:rPr>
                <w:lang w:val="id"/>
              </w:rPr>
              <w:t>Mata pelajaran ini dirancang untuk siswa yang teridentifikasi memiliki kesulitan belajar dan/atau disabilitas intelektual. Mata pelajaran ini menyediakan opsi bagi siswa yang tidak dapat mengikuti konten mata pelajaran ATAR, Umum atau Dasar dengan ketentuan penyesuaian dan/atau disabilitas.</w:t>
            </w:r>
          </w:p>
          <w:p w14:paraId="53AA4D07" w14:textId="6028C291" w:rsidR="00DB2889" w:rsidRPr="005E7D74" w:rsidRDefault="00F926A5" w:rsidP="005E7D74">
            <w:pPr>
              <w:cnfStyle w:val="000000010000" w:firstRow="0" w:lastRow="0" w:firstColumn="0" w:lastColumn="0" w:oddVBand="0" w:evenVBand="0" w:oddHBand="0" w:evenHBand="1" w:firstRowFirstColumn="0" w:firstRowLastColumn="0" w:lastRowFirstColumn="0" w:lastRowLastColumn="0"/>
            </w:pPr>
            <w:r>
              <w:rPr>
                <w:lang w:val="id"/>
              </w:rPr>
              <w:t>Mata pelajaran pendahuluan tidak berkontribusi terhadap pencapaian WACE.</w:t>
            </w:r>
          </w:p>
        </w:tc>
      </w:tr>
    </w:tbl>
    <w:p w14:paraId="2BEEC91B" w14:textId="77777777" w:rsidR="00F926A5" w:rsidRPr="005007C0" w:rsidRDefault="00F926A5" w:rsidP="00F926A5">
      <w:pPr>
        <w:pStyle w:val="Notes"/>
      </w:pPr>
    </w:p>
    <w:sectPr w:rsidR="00F926A5" w:rsidRPr="005007C0" w:rsidSect="003E7296">
      <w:headerReference w:type="default" r:id="rId12"/>
      <w:footerReference w:type="default" r:id="rId13"/>
      <w:headerReference w:type="first" r:id="rId14"/>
      <w:footerReference w:type="first" r:id="rId15"/>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EAFA" w14:textId="77777777" w:rsidR="009261FF" w:rsidRDefault="009261FF" w:rsidP="00127DAD">
      <w:r>
        <w:separator/>
      </w:r>
    </w:p>
  </w:endnote>
  <w:endnote w:type="continuationSeparator" w:id="0">
    <w:p w14:paraId="6BFF8649" w14:textId="77777777" w:rsidR="009261FF" w:rsidRDefault="009261FF"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FB0A4CC" w:rsidR="008626AA" w:rsidRPr="003E7296" w:rsidRDefault="008626AA" w:rsidP="008626AA">
    <w:pPr>
      <w:pStyle w:val="Footer"/>
      <w:rPr>
        <w:sz w:val="18"/>
        <w:szCs w:val="14"/>
      </w:rPr>
    </w:pPr>
    <w:r>
      <w:rPr>
        <w:lang w:val="id"/>
      </w:rPr>
      <w:tab/>
    </w:r>
    <w:r>
      <w:rPr>
        <w:lang w:val="id"/>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id"/>
          </w:rPr>
          <w:t>D24/0256674</w:t>
        </w:r>
      </w:sdtContent>
    </w:sdt>
  </w:p>
  <w:p w14:paraId="3CC1B870" w14:textId="0C9C4C4C" w:rsidR="000F6D5A" w:rsidRPr="003E7296" w:rsidRDefault="008626AA" w:rsidP="008626AA">
    <w:pPr>
      <w:pStyle w:val="Footer"/>
      <w:rPr>
        <w:sz w:val="18"/>
        <w:szCs w:val="14"/>
      </w:rPr>
    </w:pPr>
    <w:r>
      <w:rPr>
        <w:sz w:val="18"/>
        <w:szCs w:val="14"/>
        <w:lang w:val="id"/>
      </w:rPr>
      <w:tab/>
    </w:r>
    <w:r>
      <w:rPr>
        <w:sz w:val="18"/>
        <w:szCs w:val="14"/>
        <w:lang w:val="id"/>
      </w:rPr>
      <w:fldChar w:fldCharType="begin"/>
    </w:r>
    <w:r>
      <w:rPr>
        <w:sz w:val="18"/>
        <w:szCs w:val="14"/>
        <w:lang w:val="id"/>
      </w:rPr>
      <w:instrText xml:space="preserve"> PAGE   \* MERGEFORMAT </w:instrText>
    </w:r>
    <w:r>
      <w:rPr>
        <w:sz w:val="18"/>
        <w:szCs w:val="14"/>
        <w:lang w:val="id"/>
      </w:rPr>
      <w:fldChar w:fldCharType="separate"/>
    </w:r>
    <w:r>
      <w:rPr>
        <w:noProof/>
        <w:sz w:val="18"/>
        <w:szCs w:val="14"/>
        <w:lang w:val="id"/>
      </w:rPr>
      <w:t>2</w:t>
    </w:r>
    <w:r>
      <w:rPr>
        <w:sz w:val="18"/>
        <w:szCs w:val="14"/>
        <w:lang w:val="id"/>
      </w:rPr>
      <w:fldChar w:fldCharType="end"/>
    </w:r>
    <w:r>
      <w:rPr>
        <w:sz w:val="18"/>
        <w:szCs w:val="14"/>
        <w:lang w:val="id"/>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FBB372F" w:rsidR="00440775" w:rsidRPr="003E7296" w:rsidRDefault="001E1668" w:rsidP="001E1668">
    <w:pPr>
      <w:pStyle w:val="Footer"/>
      <w:rPr>
        <w:sz w:val="18"/>
        <w:szCs w:val="14"/>
      </w:rPr>
    </w:pPr>
    <w:r>
      <w:rPr>
        <w:lang w:val="id"/>
      </w:rPr>
      <w:tab/>
    </w:r>
    <w:r>
      <w:rPr>
        <w:lang w:val="id"/>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id"/>
          </w:rPr>
          <w:t>D24/0256674</w:t>
        </w:r>
      </w:sdtContent>
    </w:sdt>
  </w:p>
  <w:p w14:paraId="0E2C46A7" w14:textId="0337A0DE" w:rsidR="00AF71AF" w:rsidRPr="00FE0C8C" w:rsidRDefault="00440775" w:rsidP="001E1668">
    <w:pPr>
      <w:pStyle w:val="Footer"/>
      <w:rPr>
        <w:sz w:val="18"/>
        <w:szCs w:val="14"/>
      </w:rPr>
    </w:pPr>
    <w:r>
      <w:rPr>
        <w:color w:val="auto"/>
        <w:sz w:val="18"/>
        <w:szCs w:val="14"/>
        <w:lang w:val="id"/>
      </w:rPr>
      <w:tab/>
    </w:r>
    <w:r>
      <w:rPr>
        <w:color w:val="auto"/>
        <w:sz w:val="18"/>
        <w:szCs w:val="14"/>
        <w:lang w:val="id"/>
      </w:rPr>
      <w:tab/>
    </w:r>
    <w:r>
      <w:rPr>
        <w:sz w:val="18"/>
        <w:szCs w:val="14"/>
        <w:lang w:val="id"/>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CF37" w14:textId="77777777" w:rsidR="009261FF" w:rsidRDefault="009261FF" w:rsidP="00127DAD">
      <w:r>
        <w:separator/>
      </w:r>
    </w:p>
  </w:footnote>
  <w:footnote w:type="continuationSeparator" w:id="0">
    <w:p w14:paraId="5E5A24A9" w14:textId="77777777" w:rsidR="009261FF" w:rsidRDefault="009261FF"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id"/>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4F14CB23" w:rsidR="00916AF7" w:rsidRDefault="00BC5942" w:rsidP="00127DAD">
    <w:pPr>
      <w:pStyle w:val="Header"/>
    </w:pPr>
    <w:r>
      <w:rPr>
        <w:noProof/>
      </w:rPr>
      <mc:AlternateContent>
        <mc:Choice Requires="wps">
          <w:drawing>
            <wp:anchor distT="45720" distB="45720" distL="114300" distR="114300" simplePos="0" relativeHeight="251660800" behindDoc="0" locked="0" layoutInCell="1" allowOverlap="1" wp14:anchorId="6BC1D228" wp14:editId="769AAED4">
              <wp:simplePos x="0" y="0"/>
              <wp:positionH relativeFrom="column">
                <wp:posOffset>5767070</wp:posOffset>
              </wp:positionH>
              <wp:positionV relativeFrom="paragraph">
                <wp:posOffset>-135890</wp:posOffset>
              </wp:positionV>
              <wp:extent cx="8286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4620"/>
                      </a:xfrm>
                      <a:prstGeom prst="rect">
                        <a:avLst/>
                      </a:prstGeom>
                      <a:noFill/>
                      <a:ln w="9525">
                        <a:noFill/>
                        <a:miter lim="800000"/>
                        <a:headEnd/>
                        <a:tailEnd/>
                      </a:ln>
                    </wps:spPr>
                    <wps:txbx>
                      <w:txbxContent>
                        <w:p w14:paraId="58D80F00" w14:textId="1335F994" w:rsidR="00BC5942" w:rsidRPr="00BC5942" w:rsidRDefault="00BC5942">
                          <w:pPr>
                            <w:rPr>
                              <w:color w:val="404040" w:themeColor="text1" w:themeTint="BF"/>
                              <w:sz w:val="18"/>
                              <w:szCs w:val="16"/>
                            </w:rPr>
                          </w:pPr>
                          <w:r w:rsidRPr="00BC5942">
                            <w:rPr>
                              <w:color w:val="404040" w:themeColor="text1" w:themeTint="BF"/>
                              <w:sz w:val="18"/>
                              <w:szCs w:val="16"/>
                            </w:rPr>
                            <w:t>Indonesian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1D228" id="_x0000_t202" coordsize="21600,21600" o:spt="202" path="m,l,21600r21600,l21600,xe">
              <v:stroke joinstyle="miter"/>
              <v:path gradientshapeok="t" o:connecttype="rect"/>
            </v:shapetype>
            <v:shape id="Text Box 2" o:spid="_x0000_s1026" type="#_x0000_t202" style="position:absolute;margin-left:454.1pt;margin-top:-10.7pt;width:65.2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" filled="f" stroked="f">
              <v:textbox style="mso-fit-shape-to-text:t">
                <w:txbxContent>
                  <w:p w14:paraId="58D80F00" w14:textId="1335F994" w:rsidR="00BC5942" w:rsidRPr="00BC5942" w:rsidRDefault="00BC5942">
                    <w:pPr>
                      <w:rPr>
                        <w:color w:val="404040" w:themeColor="text1" w:themeTint="BF"/>
                        <w:sz w:val="18"/>
                        <w:szCs w:val="16"/>
                      </w:rPr>
                    </w:pPr>
                    <w:r w:rsidRPr="00BC5942">
                      <w:rPr>
                        <w:color w:val="404040" w:themeColor="text1" w:themeTint="BF"/>
                        <w:sz w:val="18"/>
                        <w:szCs w:val="16"/>
                      </w:rPr>
                      <w:t>Indonesian</w:t>
                    </w:r>
                  </w:p>
                </w:txbxContent>
              </v:textbox>
              <w10:wrap type="square"/>
            </v:shape>
          </w:pict>
        </mc:Fallback>
      </mc:AlternateContent>
    </w:r>
    <w:r w:rsidR="00DD5BF0">
      <w:rPr>
        <w:noProof/>
        <w:lang w:val="id"/>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id"/>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E09"/>
    <w:rsid w:val="00041982"/>
    <w:rsid w:val="00042E65"/>
    <w:rsid w:val="00043E92"/>
    <w:rsid w:val="000441E9"/>
    <w:rsid w:val="000463F8"/>
    <w:rsid w:val="00052680"/>
    <w:rsid w:val="000626CD"/>
    <w:rsid w:val="0007329C"/>
    <w:rsid w:val="00073C07"/>
    <w:rsid w:val="000776FB"/>
    <w:rsid w:val="00077ED0"/>
    <w:rsid w:val="00092DEE"/>
    <w:rsid w:val="000A5C8A"/>
    <w:rsid w:val="000A6D78"/>
    <w:rsid w:val="000B0131"/>
    <w:rsid w:val="000B2747"/>
    <w:rsid w:val="000B6A3E"/>
    <w:rsid w:val="000C58B8"/>
    <w:rsid w:val="000E61C9"/>
    <w:rsid w:val="000F3848"/>
    <w:rsid w:val="000F6D5A"/>
    <w:rsid w:val="00117BC1"/>
    <w:rsid w:val="00125098"/>
    <w:rsid w:val="00127DAD"/>
    <w:rsid w:val="0013587A"/>
    <w:rsid w:val="0017483D"/>
    <w:rsid w:val="00177D2D"/>
    <w:rsid w:val="00185215"/>
    <w:rsid w:val="001B2283"/>
    <w:rsid w:val="001C79C3"/>
    <w:rsid w:val="001D4434"/>
    <w:rsid w:val="001D492C"/>
    <w:rsid w:val="001E1668"/>
    <w:rsid w:val="001E62CB"/>
    <w:rsid w:val="001F63E2"/>
    <w:rsid w:val="002057F1"/>
    <w:rsid w:val="00237DA1"/>
    <w:rsid w:val="002500F1"/>
    <w:rsid w:val="00250BF2"/>
    <w:rsid w:val="002715EE"/>
    <w:rsid w:val="002771D2"/>
    <w:rsid w:val="002964D2"/>
    <w:rsid w:val="00297C14"/>
    <w:rsid w:val="002D49E6"/>
    <w:rsid w:val="002E0306"/>
    <w:rsid w:val="002E3D4D"/>
    <w:rsid w:val="002E7F90"/>
    <w:rsid w:val="002F01CD"/>
    <w:rsid w:val="002F49DF"/>
    <w:rsid w:val="00303358"/>
    <w:rsid w:val="003152E0"/>
    <w:rsid w:val="00316604"/>
    <w:rsid w:val="0031727B"/>
    <w:rsid w:val="003257AC"/>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E7296"/>
    <w:rsid w:val="004103B9"/>
    <w:rsid w:val="00414D84"/>
    <w:rsid w:val="0042142B"/>
    <w:rsid w:val="00424303"/>
    <w:rsid w:val="004245B2"/>
    <w:rsid w:val="00440775"/>
    <w:rsid w:val="0044231C"/>
    <w:rsid w:val="004457C7"/>
    <w:rsid w:val="0045201C"/>
    <w:rsid w:val="004661A2"/>
    <w:rsid w:val="00466E52"/>
    <w:rsid w:val="004A2133"/>
    <w:rsid w:val="004B06B1"/>
    <w:rsid w:val="004C6818"/>
    <w:rsid w:val="004D0B2E"/>
    <w:rsid w:val="0050052A"/>
    <w:rsid w:val="005007C0"/>
    <w:rsid w:val="005045E0"/>
    <w:rsid w:val="00566FE9"/>
    <w:rsid w:val="00567D4C"/>
    <w:rsid w:val="005728CD"/>
    <w:rsid w:val="005A1925"/>
    <w:rsid w:val="005B118D"/>
    <w:rsid w:val="005B2D97"/>
    <w:rsid w:val="005D0F5C"/>
    <w:rsid w:val="005E1145"/>
    <w:rsid w:val="005E1703"/>
    <w:rsid w:val="005E7D74"/>
    <w:rsid w:val="0060579B"/>
    <w:rsid w:val="00620FC1"/>
    <w:rsid w:val="00633068"/>
    <w:rsid w:val="0065350E"/>
    <w:rsid w:val="0066015D"/>
    <w:rsid w:val="0066581B"/>
    <w:rsid w:val="0066616A"/>
    <w:rsid w:val="006723BD"/>
    <w:rsid w:val="006926AB"/>
    <w:rsid w:val="00694952"/>
    <w:rsid w:val="0069523A"/>
    <w:rsid w:val="006A1BE6"/>
    <w:rsid w:val="006A3C91"/>
    <w:rsid w:val="006B214C"/>
    <w:rsid w:val="006D0BC0"/>
    <w:rsid w:val="006F639D"/>
    <w:rsid w:val="00733C11"/>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5098E"/>
    <w:rsid w:val="008626AA"/>
    <w:rsid w:val="008631A5"/>
    <w:rsid w:val="0088584D"/>
    <w:rsid w:val="00886E6E"/>
    <w:rsid w:val="008911E4"/>
    <w:rsid w:val="00895CEF"/>
    <w:rsid w:val="008A1F74"/>
    <w:rsid w:val="008A7361"/>
    <w:rsid w:val="008B02EB"/>
    <w:rsid w:val="008D7EFC"/>
    <w:rsid w:val="008E6F71"/>
    <w:rsid w:val="00916AF7"/>
    <w:rsid w:val="009239C6"/>
    <w:rsid w:val="009261FF"/>
    <w:rsid w:val="00944008"/>
    <w:rsid w:val="00944EB7"/>
    <w:rsid w:val="0095620D"/>
    <w:rsid w:val="009567D2"/>
    <w:rsid w:val="00967403"/>
    <w:rsid w:val="00976958"/>
    <w:rsid w:val="00992BCE"/>
    <w:rsid w:val="009F7FE4"/>
    <w:rsid w:val="00A10BB8"/>
    <w:rsid w:val="00A26AEF"/>
    <w:rsid w:val="00A35095"/>
    <w:rsid w:val="00A43B6C"/>
    <w:rsid w:val="00A44533"/>
    <w:rsid w:val="00A54E0A"/>
    <w:rsid w:val="00A64252"/>
    <w:rsid w:val="00A64930"/>
    <w:rsid w:val="00A66AAD"/>
    <w:rsid w:val="00A759C6"/>
    <w:rsid w:val="00A8272B"/>
    <w:rsid w:val="00AA413D"/>
    <w:rsid w:val="00AB4166"/>
    <w:rsid w:val="00AC269B"/>
    <w:rsid w:val="00AC641B"/>
    <w:rsid w:val="00AE57C0"/>
    <w:rsid w:val="00AF71AF"/>
    <w:rsid w:val="00B06BD2"/>
    <w:rsid w:val="00B13255"/>
    <w:rsid w:val="00B143E6"/>
    <w:rsid w:val="00B174C0"/>
    <w:rsid w:val="00B17C7F"/>
    <w:rsid w:val="00B25456"/>
    <w:rsid w:val="00B374A9"/>
    <w:rsid w:val="00B54143"/>
    <w:rsid w:val="00B544BA"/>
    <w:rsid w:val="00B56A6C"/>
    <w:rsid w:val="00B6170F"/>
    <w:rsid w:val="00B669D2"/>
    <w:rsid w:val="00B90E8D"/>
    <w:rsid w:val="00B929DA"/>
    <w:rsid w:val="00BA12A1"/>
    <w:rsid w:val="00BC5942"/>
    <w:rsid w:val="00BD0B3B"/>
    <w:rsid w:val="00BE5969"/>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3045"/>
    <w:rsid w:val="00CE19F1"/>
    <w:rsid w:val="00D000C5"/>
    <w:rsid w:val="00D14913"/>
    <w:rsid w:val="00D21BAC"/>
    <w:rsid w:val="00D30C69"/>
    <w:rsid w:val="00D40239"/>
    <w:rsid w:val="00D544F4"/>
    <w:rsid w:val="00D65750"/>
    <w:rsid w:val="00D846C7"/>
    <w:rsid w:val="00D904A2"/>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105A5"/>
    <w:rsid w:val="00F22678"/>
    <w:rsid w:val="00F24F5D"/>
    <w:rsid w:val="00F4033E"/>
    <w:rsid w:val="00F50F29"/>
    <w:rsid w:val="00F539D8"/>
    <w:rsid w:val="00F6628D"/>
    <w:rsid w:val="00F8161E"/>
    <w:rsid w:val="00F84DE1"/>
    <w:rsid w:val="00F926A5"/>
    <w:rsid w:val="00FA03FB"/>
    <w:rsid w:val="00FA1899"/>
    <w:rsid w:val="00FA771C"/>
    <w:rsid w:val="00FB6D45"/>
    <w:rsid w:val="00FC4262"/>
    <w:rsid w:val="00FC6FAE"/>
    <w:rsid w:val="00FD1859"/>
    <w:rsid w:val="00FD35A7"/>
    <w:rsid w:val="00FE0C8C"/>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2500F1"/>
    <w:rsid w:val="00363BFE"/>
    <w:rsid w:val="003F43C2"/>
    <w:rsid w:val="00462B0A"/>
    <w:rsid w:val="004C60B5"/>
    <w:rsid w:val="00702A54"/>
    <w:rsid w:val="00716BF8"/>
    <w:rsid w:val="00991E2F"/>
    <w:rsid w:val="00BD046A"/>
    <w:rsid w:val="00D000C5"/>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9C805-7AD8-4979-B0A9-EB9EF31354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7053F7-ABBB-4A18-BCAA-F847C4806A7D}">
  <ds:schemaRefs>
    <ds:schemaRef ds:uri="http://schemas.microsoft.com/sharepoint/v3/contenttype/forms"/>
  </ds:schemaRefs>
</ds:datastoreItem>
</file>

<file path=customXml/itemProps3.xml><?xml version="1.0" encoding="utf-8"?>
<ds:datastoreItem xmlns:ds="http://schemas.openxmlformats.org/officeDocument/2006/customXml" ds:itemID="{8F3125FC-82F2-4665-BFB2-D12D67A7DBBA}"/>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5</cp:revision>
  <dcterms:created xsi:type="dcterms:W3CDTF">2025-02-18T03:29:00Z</dcterms:created>
  <dcterms:modified xsi:type="dcterms:W3CDTF">2025-04-09T01:00:00Z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