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rPr>
        <w:t>Vías de acceso a la universidad</w:t>
      </w:r>
    </w:p>
    <w:p w14:paraId="7B23013F" w14:textId="155A102B" w:rsidR="00F424CC" w:rsidRPr="00F424CC" w:rsidRDefault="00F424CC" w:rsidP="004C3145">
      <w:pPr>
        <w:pStyle w:val="Title"/>
        <w:rPr>
          <w:color w:val="auto"/>
          <w:sz w:val="36"/>
          <w:szCs w:val="36"/>
        </w:rPr>
      </w:pPr>
      <w:r>
        <w:rPr>
          <w:bCs/>
          <w:color w:val="auto"/>
          <w:sz w:val="36"/>
          <w:szCs w:val="36"/>
        </w:rPr>
        <w:t>Información para padres y cuidadores</w:t>
      </w:r>
    </w:p>
    <w:bookmarkEnd w:id="0"/>
    <w:bookmarkEnd w:id="1"/>
    <w:p w14:paraId="78A52AA3" w14:textId="77777777" w:rsidR="00F424CC" w:rsidRDefault="00F424CC" w:rsidP="004C3145">
      <w:pPr>
        <w:pStyle w:val="BodyText"/>
        <w:spacing w:before="209"/>
      </w:pPr>
      <w:r>
        <w:t>Los estudiantes de secundaria superior pueden elegir entre una variedad de vías académicas de acceso a la universidad, la formación y el empleo. Los estudiantes pueden elegir entre estas vías según sus intereses, habilidades, necesidades y aspiraciones.</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rPr>
        <w:t>¿Cuáles son las vías de acceso a la universidad?</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rPr>
        <w:t>ATAR</w:t>
      </w:r>
    </w:p>
    <w:p w14:paraId="7BA0A285" w14:textId="7DF9B84A" w:rsidR="00A52B71" w:rsidRDefault="00F424CC" w:rsidP="004529D5">
      <w:pPr>
        <w:pStyle w:val="BodyText"/>
      </w:pPr>
      <w:r>
        <w:t xml:space="preserve">El Índice para la Admisión a la Educación Superior de Australia (ATAR, por sus siglas en inglés) se calcula usando los resultados de los cursos y exámenes de los estudiantes. Se requieren al menos cuatro cursos ATAR para poder generar el índice. Para la mayoría de los estudiantes, la naturaleza académica y el desafío de los cursos ATAR brindan la mejor preparación para el éxito en la universidad. </w:t>
      </w:r>
    </w:p>
    <w:p w14:paraId="17F32ACD" w14:textId="77777777" w:rsidR="00A52B71" w:rsidRDefault="00A52B71" w:rsidP="004529D5">
      <w:pPr>
        <w:pStyle w:val="BodyText"/>
      </w:pPr>
    </w:p>
    <w:p w14:paraId="036899A0" w14:textId="2AF1C3D9" w:rsidR="004529D5" w:rsidRDefault="004529D5" w:rsidP="004529D5">
      <w:pPr>
        <w:pStyle w:val="BodyText"/>
      </w:pPr>
      <w:r>
        <w:t>Los estudiantes de Grado 12 reciben información en sus escuelas acerca de cómo presentar solicitudes de ingreso y la admisión a carreras universitarias.</w:t>
      </w:r>
    </w:p>
    <w:p w14:paraId="0D162FFB" w14:textId="77777777" w:rsidR="00F424CC" w:rsidRDefault="00F424CC" w:rsidP="004C3145">
      <w:pPr>
        <w:pStyle w:val="BodyText"/>
      </w:pPr>
    </w:p>
    <w:p w14:paraId="273B6216" w14:textId="77777777" w:rsidR="00F424CC" w:rsidRDefault="00F424CC" w:rsidP="004C3145">
      <w:pPr>
        <w:pStyle w:val="BodyText"/>
      </w:pPr>
      <w:r>
        <w:t>Para poder solicitar el ingreso a la universidad después de terminar la escuela usando el ATAR, los estudiantes deben:</w:t>
      </w:r>
    </w:p>
    <w:p w14:paraId="2C2EBEC9" w14:textId="3D68334C" w:rsidR="00F424CC" w:rsidRDefault="00F424CC" w:rsidP="00D70709">
      <w:pPr>
        <w:pStyle w:val="BodyText"/>
        <w:numPr>
          <w:ilvl w:val="0"/>
          <w:numId w:val="23"/>
        </w:numPr>
        <w:ind w:left="700"/>
      </w:pPr>
      <w:r>
        <w:t>cumplir los requisitos para obtener el Certificado de Educación de Australia Occidental (WACE, por sus siglas en inglés);</w:t>
      </w:r>
    </w:p>
    <w:p w14:paraId="5618A6A3" w14:textId="4B64AF42" w:rsidR="004C4720" w:rsidRPr="00063A80" w:rsidRDefault="00F424CC" w:rsidP="00063A80">
      <w:pPr>
        <w:pStyle w:val="BodyText"/>
        <w:numPr>
          <w:ilvl w:val="0"/>
          <w:numId w:val="23"/>
        </w:numPr>
        <w:ind w:left="700"/>
      </w:pPr>
      <w:r>
        <w:rPr>
          <w:noProof/>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Freeform: Shape 4" style="position:absolute;margin-left:106.95pt;margin-top:13.35pt;width:77.2pt;height:2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spid="_x0000_s1026" fillcolor="#fbfbfb" stroked="f" path="m708,l,,,252r708,l708,xm1543,252r-823,l720,506r823,l1543,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w14:anchorId="0FB6031F">
                <v:path arrowok="t" o:connecttype="custom" o:connectlocs="449580,169545;0,169545;0,329565;449580,329565;449580,169545;979805,329565;457200,329565;457200,490855;979805,490855;979805,329565" o:connectangles="0,0,0,0,0,0,0,0,0,0"/>
                <w10:wrap anchorx="page"/>
              </v:shape>
            </w:pict>
          </mc:Fallback>
        </mc:AlternateContent>
      </w:r>
      <w:r>
        <w:t>cumplir con los requisitos de competencia en el idioma inglés según lo establecido por cada universidad;</w:t>
      </w:r>
    </w:p>
    <w:p w14:paraId="22C751E3" w14:textId="16C4E76B" w:rsidR="00F424CC" w:rsidRPr="004C4720" w:rsidRDefault="00F424CC" w:rsidP="00D70709">
      <w:pPr>
        <w:pStyle w:val="BodyText"/>
        <w:numPr>
          <w:ilvl w:val="0"/>
          <w:numId w:val="24"/>
        </w:numPr>
        <w:ind w:left="700"/>
      </w:pPr>
      <w:r>
        <w:t>tener un ATAR lo suficientemente alto para ingresar a un curso en particular;</w:t>
      </w:r>
    </w:p>
    <w:p w14:paraId="539D46F5" w14:textId="77777777" w:rsidR="00F424CC" w:rsidRDefault="00F424CC" w:rsidP="00D70709">
      <w:pPr>
        <w:pStyle w:val="BodyText"/>
        <w:numPr>
          <w:ilvl w:val="0"/>
          <w:numId w:val="24"/>
        </w:numPr>
        <w:ind w:left="700"/>
      </w:pPr>
      <w:r>
        <w:t>cumplir los requisitos previos o especiales para la admisión a un curso específico.</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rPr>
        <w:t>ATAR con ajuste de índice para la selección</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rPr>
        <w:t>Algunos estudiantes son candidatos a recibir un ajuste en su ATAR. Los ajustes aumentan el índice de los estudiantes por situaciones tales como:</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rPr>
        <w:t>vivir o acudir a la escuela en ciertas zonas;</w:t>
      </w:r>
    </w:p>
    <w:p w14:paraId="215F1C93" w14:textId="17F0122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rPr>
        <w:t>ser la primera persona de la familia en ir a la universidad.</w:t>
      </w:r>
    </w:p>
    <w:p w14:paraId="2B79E0EE" w14:textId="155903BB" w:rsidR="00902922" w:rsidRDefault="006E2FC1" w:rsidP="004A1E57">
      <w:pPr>
        <w:pStyle w:val="BodyText"/>
        <w:spacing w:before="120" w:after="120" w:line="252" w:lineRule="auto"/>
        <w:ind w:right="212"/>
        <w:rPr>
          <w:color w:val="000000"/>
          <w:spacing w:val="-4"/>
          <w:shd w:val="clear" w:color="auto" w:fill="FFFFFF"/>
        </w:rPr>
      </w:pPr>
      <w:r>
        <w:rPr>
          <w:color w:val="000000"/>
          <w:shd w:val="clear" w:color="auto" w:fill="FFFFFF"/>
        </w:rPr>
        <w:t xml:space="preserve">Los estudiantes pueden tener diferentes índices de selección para distintas universidades. </w:t>
      </w:r>
    </w:p>
    <w:p w14:paraId="489D6D19" w14:textId="77777777" w:rsidR="00902922" w:rsidRDefault="00902922" w:rsidP="004A1E57">
      <w:pPr>
        <w:pStyle w:val="BodyText"/>
        <w:spacing w:before="120" w:after="120" w:line="252" w:lineRule="auto"/>
        <w:ind w:right="212"/>
        <w:rPr>
          <w:color w:val="000000"/>
          <w:spacing w:val="-4"/>
          <w:shd w:val="clear" w:color="auto" w:fill="FFFFFF"/>
        </w:rPr>
      </w:pPr>
    </w:p>
    <w:p w14:paraId="27437ACB" w14:textId="77777777" w:rsidR="00902922" w:rsidRPr="00BE43AE" w:rsidRDefault="00902922" w:rsidP="00902922">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rPr>
        <w:t>El Centro de Servicio para Instituciones de Educación Terciaria (TISC)</w:t>
      </w:r>
    </w:p>
    <w:p w14:paraId="0E2F494F" w14:textId="799B2EF1" w:rsidR="00902922" w:rsidRDefault="004B46FC" w:rsidP="00E06E82">
      <w:pPr>
        <w:pStyle w:val="BodyText"/>
        <w:spacing w:before="120" w:after="120" w:line="252" w:lineRule="auto"/>
        <w:ind w:right="212"/>
        <w:rPr>
          <w:shd w:val="clear" w:color="auto" w:fill="FFFFFF"/>
        </w:rPr>
      </w:pPr>
      <w:r>
        <w:rPr>
          <w:color w:val="000000"/>
          <w:shd w:val="clear" w:color="auto" w:fill="FFFFFF"/>
        </w:rPr>
        <w:t xml:space="preserve">El Centro de Servicio para Instituciones de Educación Terciaria (TISC) cuenta con diversos recursos de gran utilidad, entre los que se incluye un folleto de admisiones universitarias. </w:t>
      </w:r>
      <w:hyperlink r:id="rId12" w:history="1">
        <w:r>
          <w:rPr>
            <w:rStyle w:val="Hyperlink"/>
            <w:shd w:val="clear" w:color="auto" w:fill="FFFFFF"/>
          </w:rPr>
          <w:t>https://tisc.edu.au/static/guide/download.tisc</w:t>
        </w:r>
      </w:hyperlink>
      <w:r>
        <w:rPr>
          <w:color w:val="000000"/>
          <w:shd w:val="clear" w:color="auto" w:fill="FFFFFF"/>
        </w:rPr>
        <w:t xml:space="preserve"> </w:t>
      </w:r>
    </w:p>
    <w:p w14:paraId="471C1C83" w14:textId="77777777" w:rsidR="00902922" w:rsidRPr="00BE43AE" w:rsidRDefault="00902922" w:rsidP="00902922">
      <w:pPr>
        <w:rPr>
          <w:rFonts w:eastAsia="Times New Roman"/>
          <w:szCs w:val="22"/>
        </w:rPr>
      </w:pPr>
      <w:r>
        <w:rPr>
          <w:rFonts w:eastAsia="Times New Roman"/>
          <w:szCs w:val="22"/>
          <w:shd w:val="clear" w:color="auto" w:fill="FFFFFF"/>
        </w:rPr>
        <w:t>TISC ofrece los siguientes servicios:</w:t>
      </w:r>
    </w:p>
    <w:p w14:paraId="1C7EAC01" w14:textId="77777777" w:rsidR="00902922" w:rsidRPr="00BE43AE" w:rsidRDefault="00902922" w:rsidP="00902922">
      <w:pPr>
        <w:numPr>
          <w:ilvl w:val="0"/>
          <w:numId w:val="26"/>
        </w:numPr>
        <w:ind w:left="723"/>
        <w:rPr>
          <w:rFonts w:eastAsia="Times New Roman"/>
          <w:szCs w:val="22"/>
        </w:rPr>
      </w:pPr>
      <w:r>
        <w:rPr>
          <w:rFonts w:eastAsia="Times New Roman"/>
          <w:szCs w:val="22"/>
        </w:rPr>
        <w:t xml:space="preserve">Procesa las </w:t>
      </w:r>
      <w:hyperlink r:id="rId13" w:history="1">
        <w:r>
          <w:rPr>
            <w:rStyle w:val="Hyperlink"/>
            <w:rFonts w:eastAsia="Times New Roman"/>
            <w:szCs w:val="22"/>
            <w:shd w:val="clear" w:color="auto" w:fill="FFFFFF"/>
          </w:rPr>
          <w:t>solicitudes</w:t>
        </w:r>
      </w:hyperlink>
      <w:r>
        <w:rPr>
          <w:rStyle w:val="Hyperlink"/>
          <w:rFonts w:eastAsia="Times New Roman"/>
          <w:szCs w:val="22"/>
          <w:u w:val="none"/>
          <w:shd w:val="clear" w:color="auto" w:fill="FFFFFF"/>
        </w:rPr>
        <w:t xml:space="preserve"> </w:t>
      </w:r>
      <w:r>
        <w:rPr>
          <w:rFonts w:eastAsia="Times New Roman"/>
          <w:szCs w:val="22"/>
        </w:rPr>
        <w:t>de admisión a cursos universitarios en las universidades mencionadas anteriormente.</w:t>
      </w:r>
    </w:p>
    <w:p w14:paraId="429950BE" w14:textId="77777777" w:rsidR="00902922" w:rsidRPr="00BE43AE" w:rsidRDefault="00902922" w:rsidP="00902922">
      <w:pPr>
        <w:numPr>
          <w:ilvl w:val="0"/>
          <w:numId w:val="26"/>
        </w:numPr>
        <w:ind w:left="723"/>
        <w:rPr>
          <w:rFonts w:eastAsia="Times New Roman"/>
          <w:szCs w:val="22"/>
        </w:rPr>
      </w:pPr>
      <w:r>
        <w:rPr>
          <w:rFonts w:eastAsia="Times New Roman"/>
          <w:szCs w:val="22"/>
        </w:rPr>
        <w:lastRenderedPageBreak/>
        <w:t>Aplica la Prueba Especial de Admisión para la Educación Terciaria (</w:t>
      </w:r>
      <w:hyperlink r:id="rId14" w:history="1">
        <w:r>
          <w:rPr>
            <w:rStyle w:val="Hyperlink"/>
            <w:rFonts w:eastAsia="Times New Roman"/>
            <w:szCs w:val="22"/>
            <w:shd w:val="clear" w:color="auto" w:fill="FFFFFF"/>
          </w:rPr>
          <w:t>STAT</w:t>
        </w:r>
      </w:hyperlink>
      <w:r>
        <w:rPr>
          <w:rFonts w:eastAsia="Times New Roman"/>
          <w:szCs w:val="22"/>
        </w:rPr>
        <w:t>).</w:t>
      </w:r>
    </w:p>
    <w:p w14:paraId="0EBB7393" w14:textId="77777777" w:rsidR="00902922" w:rsidRPr="00BE43AE" w:rsidRDefault="00902922" w:rsidP="00902922">
      <w:pPr>
        <w:numPr>
          <w:ilvl w:val="0"/>
          <w:numId w:val="26"/>
        </w:numPr>
        <w:ind w:left="723"/>
        <w:rPr>
          <w:rFonts w:eastAsia="Times New Roman"/>
          <w:szCs w:val="22"/>
        </w:rPr>
      </w:pPr>
      <w:r>
        <w:rPr>
          <w:rFonts w:eastAsia="Times New Roman"/>
          <w:szCs w:val="22"/>
        </w:rPr>
        <w:t>Administra el Programa de Estudios Preuniversitarios de Universidades de Australia Occidental (</w:t>
      </w:r>
      <w:hyperlink r:id="rId15" w:history="1">
        <w:r>
          <w:rPr>
            <w:rStyle w:val="Hyperlink"/>
            <w:rFonts w:eastAsia="Times New Roman"/>
            <w:szCs w:val="22"/>
            <w:shd w:val="clear" w:color="auto" w:fill="FFFFFF"/>
          </w:rPr>
          <w:t>WAUFP</w:t>
        </w:r>
      </w:hyperlink>
      <w:r>
        <w:rPr>
          <w:rFonts w:eastAsia="Times New Roman"/>
          <w:szCs w:val="22"/>
        </w:rPr>
        <w:t>, por sus siglas en inglés).</w:t>
      </w:r>
    </w:p>
    <w:p w14:paraId="484D8D1E" w14:textId="77777777" w:rsidR="00902922" w:rsidRPr="00BE43AE" w:rsidRDefault="00902922" w:rsidP="00902922">
      <w:pPr>
        <w:numPr>
          <w:ilvl w:val="0"/>
          <w:numId w:val="26"/>
        </w:numPr>
        <w:ind w:left="723"/>
        <w:rPr>
          <w:rFonts w:eastAsia="Times New Roman"/>
          <w:szCs w:val="22"/>
        </w:rPr>
      </w:pPr>
      <w:r>
        <w:rPr>
          <w:rFonts w:eastAsia="Times New Roman"/>
          <w:szCs w:val="22"/>
        </w:rPr>
        <w:t xml:space="preserve">Publica </w:t>
      </w:r>
      <w:hyperlink r:id="rId16" w:history="1">
        <w:r>
          <w:rPr>
            <w:rStyle w:val="Hyperlink"/>
            <w:rFonts w:eastAsia="Times New Roman"/>
            <w:szCs w:val="22"/>
            <w:shd w:val="clear" w:color="auto" w:fill="FFFFFF"/>
          </w:rPr>
          <w:t>circulares</w:t>
        </w:r>
        <w:r>
          <w:rPr>
            <w:rStyle w:val="Hyperlink"/>
            <w:shd w:val="clear" w:color="auto" w:fill="FFFFFF"/>
          </w:rPr>
          <w:t xml:space="preserve"> escolares</w:t>
        </w:r>
      </w:hyperlink>
      <w:r>
        <w:rPr>
          <w:rFonts w:eastAsia="Times New Roman"/>
          <w:szCs w:val="22"/>
        </w:rPr>
        <w:t xml:space="preserve"> periódicas.</w:t>
      </w:r>
    </w:p>
    <w:p w14:paraId="622B9302" w14:textId="77777777" w:rsidR="00902922" w:rsidRPr="00BE43AE" w:rsidRDefault="00902922" w:rsidP="00902922">
      <w:pPr>
        <w:numPr>
          <w:ilvl w:val="0"/>
          <w:numId w:val="26"/>
        </w:numPr>
        <w:ind w:left="723"/>
        <w:rPr>
          <w:rFonts w:eastAsia="Times New Roman"/>
          <w:szCs w:val="22"/>
        </w:rPr>
      </w:pPr>
      <w:hyperlink r:id="rId17" w:history="1">
        <w:r>
          <w:rPr>
            <w:rStyle w:val="Hyperlink"/>
            <w:rFonts w:eastAsia="Times New Roman"/>
            <w:szCs w:val="22"/>
            <w:shd w:val="clear" w:color="auto" w:fill="FFFFFF"/>
          </w:rPr>
          <w:t>Escalado</w:t>
        </w:r>
      </w:hyperlink>
      <w:r>
        <w:rPr>
          <w:rFonts w:eastAsia="Times New Roman"/>
          <w:szCs w:val="22"/>
        </w:rPr>
        <w:t xml:space="preserve"> de los resultados del WACE y cálculo de los </w:t>
      </w:r>
      <w:hyperlink r:id="rId18" w:history="1">
        <w:r>
          <w:rPr>
            <w:rStyle w:val="Hyperlink"/>
            <w:rFonts w:eastAsia="Times New Roman"/>
            <w:szCs w:val="22"/>
            <w:shd w:val="clear" w:color="auto" w:fill="FFFFFF"/>
          </w:rPr>
          <w:t>ATAR</w:t>
        </w:r>
      </w:hyperlink>
      <w:r>
        <w:rPr>
          <w:rFonts w:eastAsia="Times New Roman"/>
          <w:szCs w:val="22"/>
        </w:rPr>
        <w:t xml:space="preserve"> para estudiantes en Australia Occidental.</w:t>
      </w:r>
    </w:p>
    <w:p w14:paraId="3CB3AF22" w14:textId="77777777" w:rsidR="00902922" w:rsidRDefault="00902922" w:rsidP="00902922">
      <w:pPr>
        <w:pStyle w:val="BodyText"/>
        <w:spacing w:line="252" w:lineRule="auto"/>
        <w:ind w:right="212"/>
        <w:rPr>
          <w:color w:val="000000"/>
          <w:spacing w:val="-4"/>
          <w:shd w:val="clear" w:color="auto" w:fill="FFFFFF"/>
        </w:rPr>
      </w:pPr>
    </w:p>
    <w:p w14:paraId="1E052703" w14:textId="4AFCA09C" w:rsidR="00902922" w:rsidRDefault="00902922" w:rsidP="004A1E57">
      <w:pPr>
        <w:pStyle w:val="BodyText"/>
        <w:spacing w:before="120" w:after="120" w:line="252" w:lineRule="auto"/>
        <w:ind w:right="212"/>
        <w:rPr>
          <w:b/>
          <w:bCs/>
          <w:sz w:val="24"/>
          <w:szCs w:val="24"/>
        </w:rPr>
        <w:sectPr w:rsidR="00902922" w:rsidSect="00274C17">
          <w:headerReference w:type="default" r:id="rId19"/>
          <w:footerReference w:type="default" r:id="rId20"/>
          <w:headerReference w:type="first" r:id="rId21"/>
          <w:footerReference w:type="first" r:id="rId22"/>
          <w:pgSz w:w="11906" w:h="16838"/>
          <w:pgMar w:top="709" w:right="1247" w:bottom="709" w:left="1247" w:header="680" w:footer="737" w:gutter="0"/>
          <w:cols w:space="708"/>
          <w:titlePg/>
          <w:docGrid w:linePitch="360"/>
        </w:sectPr>
      </w:pP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77FCC099" w14:textId="2375F630" w:rsidR="00291390" w:rsidRPr="00291390" w:rsidRDefault="00291390" w:rsidP="00037E99">
      <w:pPr>
        <w:pStyle w:val="BodyText"/>
        <w:spacing w:before="120" w:after="60" w:line="254" w:lineRule="auto"/>
        <w:ind w:right="212"/>
        <w:rPr>
          <w:b/>
          <w:bCs/>
          <w:sz w:val="24"/>
          <w:szCs w:val="24"/>
        </w:rPr>
      </w:pPr>
      <w:proofErr w:type="spellStart"/>
      <w:r>
        <w:rPr>
          <w:b/>
          <w:bCs/>
          <w:sz w:val="24"/>
          <w:szCs w:val="24"/>
        </w:rPr>
        <w:lastRenderedPageBreak/>
        <w:t>Cursos</w:t>
      </w:r>
      <w:proofErr w:type="spellEnd"/>
      <w:r>
        <w:rPr>
          <w:b/>
          <w:bCs/>
          <w:sz w:val="24"/>
          <w:szCs w:val="24"/>
        </w:rPr>
        <w:t xml:space="preserve"> de </w:t>
      </w:r>
      <w:proofErr w:type="spellStart"/>
      <w:r>
        <w:rPr>
          <w:b/>
          <w:bCs/>
          <w:sz w:val="24"/>
          <w:szCs w:val="24"/>
        </w:rPr>
        <w:t>preparación</w:t>
      </w:r>
      <w:proofErr w:type="spellEnd"/>
      <w:r>
        <w:rPr>
          <w:b/>
          <w:bCs/>
          <w:sz w:val="24"/>
          <w:szCs w:val="24"/>
        </w:rPr>
        <w:t xml:space="preserve"> para la universidad</w:t>
      </w:r>
    </w:p>
    <w:p w14:paraId="759740C7" w14:textId="77777777" w:rsidR="00F520DD" w:rsidRDefault="00291390" w:rsidP="004C3145">
      <w:pPr>
        <w:pStyle w:val="BodyText"/>
        <w:spacing w:after="120"/>
      </w:pPr>
      <w:r>
        <w:t xml:space="preserve">Los cursos de preparación para la universidad están diseñados para preparar a los estudiantes para cumplir con los requisitos de admisión de una amplia variedad de cursos universitarios. Estos cursos desarrollan las habilidades necesarias para tener éxito en los estudios de nivel universitario, tales como la investigación académica, la escritura, las habilidades matemáticas y de pensamiento crítico. </w:t>
      </w:r>
    </w:p>
    <w:p w14:paraId="29910771" w14:textId="5AA7443E" w:rsidR="00D47A10" w:rsidRDefault="00D537D1" w:rsidP="004C3145">
      <w:pPr>
        <w:pStyle w:val="BodyText"/>
        <w:spacing w:after="120"/>
      </w:pPr>
      <w:r>
        <w:t xml:space="preserve">Los cursos de preparación son gratuitos para estudiantes que hayan terminaron sus estudios y que sean ciudadanos australianos, pero los costos y requisitos pueden ser distintos para estudiantes que no son ciudadanos.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t>Universidad</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t>Página de internet</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t>Curtin</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t xml:space="preserve">UniReady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3" w:history="1">
              <w:r>
                <w:rPr>
                  <w:rStyle w:val="Hyperlink"/>
                </w:rPr>
                <w:t>https://www.curtin.edu.au/study/applying/pathways/uniready-enabling-program/</w:t>
              </w:r>
            </w:hyperlink>
            <w: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Pr="00D05C38" w:rsidRDefault="0017211A" w:rsidP="00F70FDB">
            <w:pPr>
              <w:pStyle w:val="BodyText"/>
              <w:spacing w:before="5"/>
              <w:rPr>
                <w:sz w:val="20"/>
                <w:szCs w:val="20"/>
              </w:rPr>
            </w:pPr>
            <w:r w:rsidRPr="00D05C38">
              <w:rPr>
                <w:sz w:val="20"/>
                <w:szCs w:val="20"/>
              </w:rPr>
              <w:t>Edith Cowan</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t>UniPrep</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24" w:history="1">
              <w:r>
                <w:rPr>
                  <w:rStyle w:val="Hyperlink"/>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Pr="00D05C38" w:rsidRDefault="0017211A" w:rsidP="00F70FDB">
            <w:pPr>
              <w:pStyle w:val="BodyText"/>
              <w:spacing w:before="5"/>
              <w:rPr>
                <w:sz w:val="20"/>
                <w:szCs w:val="20"/>
              </w:rPr>
            </w:pPr>
            <w:r w:rsidRPr="00D05C38">
              <w:rPr>
                <w:sz w:val="20"/>
                <w:szCs w:val="20"/>
              </w:rPr>
              <w:t>Murdoch</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rPr>
              <w:t>OnTrack</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25" w:history="1">
              <w:r>
                <w:rPr>
                  <w:rStyle w:val="Hyperlink"/>
                </w:rPr>
                <w:t>https://www.murdoch.edu.au/study/pathways-to-uni/enabling-pathways</w:t>
              </w:r>
            </w:hyperlink>
          </w:p>
        </w:tc>
      </w:tr>
      <w:tr w:rsidR="0017211A" w14:paraId="4A032E2F" w14:textId="77777777" w:rsidTr="00F70FDB">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D05C38" w:rsidRDefault="0017211A" w:rsidP="00F70FDB">
            <w:pPr>
              <w:pStyle w:val="BodyText"/>
              <w:spacing w:before="5"/>
              <w:rPr>
                <w:bCs w:val="0"/>
                <w:spacing w:val="-2"/>
                <w:sz w:val="20"/>
                <w:szCs w:val="20"/>
              </w:rPr>
            </w:pPr>
            <w:r w:rsidRPr="00D05C38">
              <w:rPr>
                <w:sz w:val="20"/>
                <w:szCs w:val="20"/>
              </w:rPr>
              <w:t>University of Notre Dame</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t xml:space="preserve">Programa de Vías Académicas para los Estudios Terciarios (TPP, por sus siglas en inglés) </w:t>
            </w:r>
            <w:hyperlink r:id="rId26" w:history="1">
              <w:r>
                <w:rPr>
                  <w:rStyle w:val="Hyperlink"/>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D05C38" w:rsidRDefault="00347DBB" w:rsidP="00F70FDB">
            <w:pPr>
              <w:pStyle w:val="BodyText"/>
              <w:spacing w:before="5"/>
              <w:rPr>
                <w:spacing w:val="-2"/>
                <w:sz w:val="20"/>
                <w:szCs w:val="20"/>
              </w:rPr>
            </w:pPr>
            <w:r w:rsidRPr="00D05C38">
              <w:rPr>
                <w:sz w:val="20"/>
                <w:szCs w:val="20"/>
              </w:rPr>
              <w:t>University of Western Australia</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t xml:space="preserve">La </w:t>
            </w:r>
            <w:r>
              <w:rPr>
                <w:b/>
                <w:bCs/>
              </w:rPr>
              <w:t>Universidad de Australia Occidental</w:t>
            </w:r>
            <w:r>
              <w:t xml:space="preserve"> (University of Western Australia) acepta admisiones después de haber completado con éxito los programas de preparación para la universidad en Australian University u otras universidades afiliadas con una nota promedio ponderada final de 65 % o mayor.</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7" w:history="1">
              <w:r>
                <w:rPr>
                  <w:rStyle w:val="Hyperlink"/>
                </w:rPr>
                <w:t>https://www.uwa.edu.au/study/how-to-apply/admission-entry-pathways/enabling-programs</w:t>
              </w:r>
            </w:hyperlink>
            <w:r>
              <w:t xml:space="preserve">  </w:t>
            </w:r>
          </w:p>
        </w:tc>
      </w:tr>
    </w:tbl>
    <w:p w14:paraId="7A83545F" w14:textId="313AA42D" w:rsidR="00CC54CA" w:rsidRPr="00BE43AE" w:rsidRDefault="00CC54CA" w:rsidP="00037E99">
      <w:pPr>
        <w:spacing w:before="120" w:after="60"/>
        <w:rPr>
          <w:b/>
          <w:bCs/>
          <w:sz w:val="24"/>
          <w:szCs w:val="24"/>
        </w:rPr>
      </w:pPr>
      <w:proofErr w:type="spellStart"/>
      <w:r>
        <w:rPr>
          <w:b/>
          <w:bCs/>
          <w:sz w:val="24"/>
          <w:szCs w:val="24"/>
        </w:rPr>
        <w:t>Educación</w:t>
      </w:r>
      <w:proofErr w:type="spellEnd"/>
      <w:r>
        <w:rPr>
          <w:b/>
          <w:bCs/>
          <w:sz w:val="24"/>
          <w:szCs w:val="24"/>
        </w:rPr>
        <w:t xml:space="preserve"> y </w:t>
      </w:r>
      <w:proofErr w:type="spellStart"/>
      <w:r>
        <w:rPr>
          <w:b/>
          <w:bCs/>
          <w:sz w:val="24"/>
          <w:szCs w:val="24"/>
        </w:rPr>
        <w:t>Capacitación</w:t>
      </w:r>
      <w:proofErr w:type="spellEnd"/>
      <w:r>
        <w:rPr>
          <w:b/>
          <w:bCs/>
          <w:sz w:val="24"/>
          <w:szCs w:val="24"/>
        </w:rPr>
        <w:t xml:space="preserve"> </w:t>
      </w:r>
      <w:proofErr w:type="spellStart"/>
      <w:r>
        <w:rPr>
          <w:b/>
          <w:bCs/>
          <w:sz w:val="24"/>
          <w:szCs w:val="24"/>
        </w:rPr>
        <w:t>Vocacional</w:t>
      </w:r>
      <w:proofErr w:type="spellEnd"/>
      <w:r>
        <w:rPr>
          <w:b/>
          <w:bCs/>
          <w:sz w:val="24"/>
          <w:szCs w:val="24"/>
        </w:rPr>
        <w:t xml:space="preserve"> (VET)</w:t>
      </w:r>
    </w:p>
    <w:p w14:paraId="2B655608" w14:textId="73D46355" w:rsidR="00F321C6" w:rsidRDefault="00553638" w:rsidP="00CC54CA">
      <w:pPr>
        <w:pStyle w:val="BodyText"/>
        <w:spacing w:before="5" w:after="120"/>
      </w:pPr>
      <w:r>
        <w:t>Las cualificaciones de Educación y Capacitación Vocacional (VET, por sus siglas en inglés) pueden servir como excelentes vías para acceder a la educación superior. Los estudiantes pueden utilizar sus cualificaciones VET para cumplir con los requisitos mínimos de admisión para una amplia variedad de cursos universitarios. Las cualificaciones VET pertinentes también pueden ofrecer reconocimiento de estudios previos o acuerdos de transferencia de créditos, reconociendo las habilidades y conocimientos adquiridos a través de la capacitación vocacional.</w:t>
      </w:r>
    </w:p>
    <w:tbl>
      <w:tblPr>
        <w:tblStyle w:val="DOETable1"/>
        <w:tblW w:w="9634" w:type="dxa"/>
        <w:tblLook w:val="04A0" w:firstRow="1" w:lastRow="0" w:firstColumn="1" w:lastColumn="0" w:noHBand="0" w:noVBand="1"/>
      </w:tblPr>
      <w:tblGrid>
        <w:gridCol w:w="1476"/>
        <w:gridCol w:w="8158"/>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t>Universidad</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t>Página de internet</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Pr="00D05C38" w:rsidRDefault="00CC54CA" w:rsidP="00FD5DE5">
            <w:pPr>
              <w:pStyle w:val="BodyText"/>
              <w:spacing w:before="5"/>
              <w:rPr>
                <w:sz w:val="20"/>
                <w:szCs w:val="20"/>
              </w:rPr>
            </w:pPr>
            <w:r w:rsidRPr="00D05C38">
              <w:rPr>
                <w:sz w:val="20"/>
                <w:szCs w:val="20"/>
              </w:rPr>
              <w:t>Curtin</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8" w:history="1">
              <w:r>
                <w:rPr>
                  <w:rStyle w:val="Hyperlink"/>
                </w:rPr>
                <w:t>https://www.curtin.edu.au/study/applying/pathways/tafe-vet/</w:t>
              </w:r>
            </w:hyperlink>
            <w: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Pr="00D05C38" w:rsidRDefault="00CC54CA" w:rsidP="00FD5DE5">
            <w:pPr>
              <w:pStyle w:val="BodyText"/>
              <w:spacing w:before="5"/>
              <w:rPr>
                <w:sz w:val="20"/>
                <w:szCs w:val="20"/>
              </w:rPr>
            </w:pPr>
            <w:r w:rsidRPr="00D05C38">
              <w:rPr>
                <w:sz w:val="20"/>
                <w:szCs w:val="20"/>
              </w:rPr>
              <w:t>Edith Cowan</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9">
              <w:r>
                <w:rPr>
                  <w:color w:val="0462C1"/>
                  <w:u w:val="single"/>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Pr="00D05C38" w:rsidRDefault="00CC54CA" w:rsidP="00FD5DE5">
            <w:pPr>
              <w:pStyle w:val="BodyText"/>
              <w:spacing w:before="5"/>
              <w:rPr>
                <w:sz w:val="20"/>
                <w:szCs w:val="20"/>
              </w:rPr>
            </w:pPr>
            <w:r w:rsidRPr="00D05C38">
              <w:rPr>
                <w:sz w:val="20"/>
                <w:szCs w:val="20"/>
              </w:rPr>
              <w:t>Murdoch</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30" w:history="1">
              <w:r>
                <w:rPr>
                  <w:rStyle w:val="Hyperlink"/>
                  <w:rFonts w:eastAsia="Arial"/>
                  <w:szCs w:val="22"/>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D05C38" w:rsidRDefault="00CC54CA" w:rsidP="00FD5DE5">
            <w:pPr>
              <w:pStyle w:val="BodyText"/>
              <w:spacing w:before="5"/>
              <w:rPr>
                <w:bCs w:val="0"/>
                <w:spacing w:val="-2"/>
                <w:sz w:val="20"/>
                <w:szCs w:val="20"/>
              </w:rPr>
            </w:pPr>
            <w:r w:rsidRPr="00D05C38">
              <w:rPr>
                <w:sz w:val="20"/>
                <w:szCs w:val="20"/>
              </w:rPr>
              <w:t>University of Notre Dame</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1" w:history="1">
              <w:r>
                <w:rPr>
                  <w:rStyle w:val="Hyperlink"/>
                </w:rPr>
                <w:t>https://www.notredame.edu.au/study/applications-and-admissions/pathways/other-entry-pathways</w:t>
              </w:r>
            </w:hyperlink>
            <w: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Pr="00D05C38" w:rsidRDefault="00CC54CA" w:rsidP="00FD5DE5">
            <w:pPr>
              <w:pStyle w:val="BodyText"/>
              <w:spacing w:before="5"/>
              <w:rPr>
                <w:sz w:val="20"/>
                <w:szCs w:val="20"/>
              </w:rPr>
            </w:pPr>
            <w:r w:rsidRPr="00D05C38">
              <w:rPr>
                <w:sz w:val="18"/>
                <w:szCs w:val="18"/>
              </w:rPr>
              <w:t>University of Western Australia</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32" w:history="1">
              <w:r>
                <w:rPr>
                  <w:rStyle w:val="Hyperlink"/>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rPr>
        <w:t>Portafolio de admisión</w:t>
      </w:r>
    </w:p>
    <w:p w14:paraId="539632D5" w14:textId="5E3C506F" w:rsidR="00F321C6" w:rsidRDefault="00291390" w:rsidP="00037E99">
      <w:pPr>
        <w:spacing w:after="240"/>
      </w:pPr>
      <w:r>
        <w:t xml:space="preserve">Los estudiantes pueden ser considerados para la admisión en cursos universitarios específicos en función de un portafolio que muestre sus logros académicos, cualificaciones, habilidades y aptitudes para los estudios terciarios. </w:t>
      </w:r>
    </w:p>
    <w:p w14:paraId="541DB3B5" w14:textId="2876061D" w:rsidR="00355F8F" w:rsidRDefault="00355F8F" w:rsidP="00037E99">
      <w:pPr>
        <w:pStyle w:val="BodyText"/>
        <w:spacing w:before="120" w:after="120"/>
      </w:pPr>
      <w:hyperlink r:id="rId33">
        <w:r>
          <w:t>L</w:t>
        </w:r>
      </w:hyperlink>
      <w:r>
        <w:t xml:space="preserve">a admisión de acuerdo al portafolio está disponible para una variedad de cursos. Algunos cursos tienen criterios de admisión específicos adicionales.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t>Universidad</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t>Página de internet</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t>Curtin</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4" w:history="1">
              <w:r>
                <w:rPr>
                  <w:rStyle w:val="Hyperlink"/>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t>Edith Cowan</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5" w:history="1">
              <w:r>
                <w:rPr>
                  <w:rStyle w:val="Hyperlink"/>
                </w:rPr>
                <w:t>https://www.ecu.edu.au/future-students/course-entry/creative-arts-portfolio-entry</w:t>
              </w:r>
            </w:hyperlink>
            <w: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t>Murdoch</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6" w:history="1">
              <w:r>
                <w:rPr>
                  <w:rStyle w:val="Hyperlink"/>
                </w:rPr>
                <w:t>https://www.murdoch.edu.au/study/pathways-to-uni/enabling-pathways/experience-based-entry/media-portfolio</w:t>
              </w:r>
            </w:hyperlink>
            <w: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rPr>
        <w:t>Vías y apoyo para estudiantes aborígenes e isleños del estrecho de Torres</w:t>
      </w:r>
    </w:p>
    <w:p w14:paraId="5FF3D6A9" w14:textId="596FCCEB" w:rsidR="00296F74" w:rsidRPr="00BE43AE" w:rsidRDefault="00296F74" w:rsidP="00F70FDB">
      <w:pPr>
        <w:spacing w:after="120" w:line="259" w:lineRule="auto"/>
        <w:rPr>
          <w:rFonts w:eastAsia="Arial"/>
          <w:b/>
          <w:bCs/>
          <w:spacing w:val="-2"/>
        </w:rPr>
      </w:pPr>
      <w:r>
        <w:rPr>
          <w:szCs w:val="22"/>
        </w:rPr>
        <w:t xml:space="preserve">Las universidades ofrecen vías de preparación especializadas y diseñadas específicamente para estudiantes potenciales aborígenes e isleños del estrecho de Torres, con el objetivo de apoyar a individuos y sus comunidades para alcanzar sus ambiciones académicas.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t>Universidad</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t>Página de internet</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t>Curtin</w:t>
            </w:r>
          </w:p>
        </w:tc>
        <w:tc>
          <w:tcPr>
            <w:tcW w:w="7512" w:type="dxa"/>
            <w:vAlign w:val="center"/>
          </w:tcPr>
          <w:p w14:paraId="37C528B7" w14:textId="77777777"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7" w:history="1">
              <w:r>
                <w:rPr>
                  <w:rStyle w:val="Hyperlink"/>
                  <w:shd w:val="clear" w:color="auto" w:fill="FFFFFF"/>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t>Edith Cowan</w:t>
            </w:r>
          </w:p>
        </w:tc>
        <w:tc>
          <w:tcPr>
            <w:tcW w:w="7512" w:type="dxa"/>
            <w:vAlign w:val="center"/>
          </w:tcPr>
          <w:p w14:paraId="1D45056B" w14:textId="77777777" w:rsidR="00773BC6" w:rsidRPr="005904BE"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38" w:history="1">
              <w:r>
                <w:rPr>
                  <w:rStyle w:val="Hyperlink"/>
                </w:rPr>
                <w:t>https://www.ecu.edu.au/degrees/aboriginal-and-or-torres-strait-islanders</w:t>
              </w:r>
            </w:hyperlink>
            <w: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t>Murdoch</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t>K-Track</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39" w:history="1">
              <w:r>
                <w:rPr>
                  <w:rStyle w:val="Hyperlink"/>
                </w:rPr>
                <w:t>https://www.murdoch.edu.au/course/Enabling/N1077</w:t>
              </w:r>
            </w:hyperlink>
            <w: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t>University of Notre Dame</w:t>
            </w:r>
          </w:p>
        </w:tc>
        <w:tc>
          <w:tcPr>
            <w:tcW w:w="7512" w:type="dxa"/>
            <w:vAlign w:val="center"/>
          </w:tcPr>
          <w:p w14:paraId="0D6C8772" w14:textId="77777777" w:rsidR="00773BC6" w:rsidRPr="003E1590" w:rsidRDefault="00773BC6"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40" w:history="1">
              <w:r>
                <w:rPr>
                  <w:rStyle w:val="Hyperlink"/>
                </w:rPr>
                <w:t>https://www.notredame.edu.au/students/support/aboriginal-and-torres-strait-islander-support</w:t>
              </w:r>
            </w:hyperlink>
            <w: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t>University of Western Australia</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41">
              <w:r>
                <w:rPr>
                  <w:color w:val="0462C1"/>
                  <w:u w:val="single"/>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rPr>
        <w:t>International Big Picture Learning Credential (Credencial Internacional de Aprendizaje del Programa Big Picture)</w:t>
      </w:r>
    </w:p>
    <w:p w14:paraId="7B941B8F" w14:textId="74C95C10" w:rsidR="00266A20" w:rsidRPr="00830D9A" w:rsidRDefault="00203DE5" w:rsidP="00203DE5">
      <w:pPr>
        <w:rPr>
          <w:szCs w:val="22"/>
        </w:rPr>
      </w:pPr>
      <w:r>
        <w:t>El IBPLC es una forma personalizada de evaluación del último año que mide y captura una amplia variedad de capacidades, experiencias y. cualidades. Varias universidades australianas ofrecen plazas a los graduados con esta credencial.</w:t>
      </w:r>
    </w:p>
    <w:p w14:paraId="592AB710" w14:textId="23029E3C" w:rsidR="00203DE5" w:rsidRPr="009F3FC4" w:rsidRDefault="00266A20" w:rsidP="00037E99">
      <w:pPr>
        <w:spacing w:before="120"/>
        <w:rPr>
          <w:color w:val="313131"/>
          <w:szCs w:val="22"/>
        </w:rPr>
      </w:pPr>
      <w:hyperlink r:id="rId42" w:history="1">
        <w:r>
          <w:rPr>
            <w:rStyle w:val="Hyperlink"/>
            <w:szCs w:val="22"/>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C77DE">
          <w:headerReference w:type="first" r:id="rId43"/>
          <w:footerReference w:type="first" r:id="rId44"/>
          <w:pgSz w:w="11906" w:h="16838"/>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rPr>
        <w:t>Ingreso basado en la experiencia</w:t>
      </w:r>
    </w:p>
    <w:p w14:paraId="25E6D505" w14:textId="42891DD6" w:rsidR="00F321C6" w:rsidRDefault="00D33C0E" w:rsidP="004C3145">
      <w:pPr>
        <w:spacing w:after="120"/>
      </w:pPr>
      <w:r>
        <w:t>Es posible que ciertos estudiantes puedan ser candidatos a entrar a una carrera universitaria tras una evaluación realizada por la universidad, la cual determina sus posibilidades de tener éxito en los estudios superiores de acuerdo a la evidencia que se presente.</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t>Universidad</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t>Página de internet</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t>Edith Cowan</w:t>
            </w:r>
          </w:p>
        </w:tc>
        <w:tc>
          <w:tcPr>
            <w:tcW w:w="7696" w:type="dxa"/>
          </w:tcPr>
          <w:p w14:paraId="3A7A3ECB" w14:textId="39A54CF5" w:rsidR="00D33C0E" w:rsidRPr="00FD22D7" w:rsidRDefault="00954A0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5" w:history="1">
              <w:r>
                <w:rPr>
                  <w:rStyle w:val="Hyperlink"/>
                </w:rPr>
                <w:t>https://www.ecu.edu.au/future-students/course-entry/experience-based-entry-scheme</w:t>
              </w:r>
            </w:hyperlink>
            <w:r>
              <w:rPr>
                <w:rStyle w:val="Hyperlink"/>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t>Murdoch</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6" w:history="1">
              <w:r>
                <w:rPr>
                  <w:rStyle w:val="Hyperlink"/>
                </w:rPr>
                <w:t>https://www.murdoch.edu.au/study/pathways-to-uni/enabling-pathways/experience-based-entry</w:t>
              </w:r>
            </w:hyperlink>
            <w: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t>University of Notre Dame</w:t>
            </w:r>
          </w:p>
        </w:tc>
        <w:tc>
          <w:tcPr>
            <w:tcW w:w="7696" w:type="dxa"/>
            <w:shd w:val="clear" w:color="auto" w:fill="FFFFFF" w:themeFill="background1"/>
          </w:tcPr>
          <w:p w14:paraId="13FC4A1E" w14:textId="08D00B8E" w:rsidR="004C7715" w:rsidRPr="00D33C0E" w:rsidRDefault="004B7529"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7" w:history="1">
              <w:r>
                <w:rPr>
                  <w:rStyle w:val="Hyperlink"/>
                </w:rPr>
                <w:t>https://www.notredame.edu.au/study/applications-and-admissions/pathways/other-entry-pathways</w:t>
              </w:r>
            </w:hyperlink>
            <w: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t>University of Western Australia</w:t>
            </w:r>
          </w:p>
        </w:tc>
        <w:tc>
          <w:tcPr>
            <w:tcW w:w="7696" w:type="dxa"/>
          </w:tcPr>
          <w:p w14:paraId="2DB2CB61" w14:textId="37EAC98B" w:rsidR="001F1ECD" w:rsidRPr="009F3FC4" w:rsidRDefault="004B7529"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8" w:history="1">
              <w:r>
                <w:rPr>
                  <w:rStyle w:val="Hyperlink"/>
                </w:rPr>
                <w:t>https://www.uwa.edu.au/study/How-to-apply/Admission-entry-pathways/Experience-based-entry</w:t>
              </w:r>
            </w:hyperlink>
            <w:r>
              <w:rPr>
                <w:color w:val="0462C1"/>
                <w:u w:val="single"/>
              </w:rPr>
              <w:t xml:space="preserve">  </w:t>
            </w:r>
          </w:p>
        </w:tc>
      </w:tr>
    </w:tbl>
    <w:p w14:paraId="40735AC0" w14:textId="77777777" w:rsidR="00C407A9" w:rsidRDefault="00C407A9" w:rsidP="00C407A9"/>
    <w:p w14:paraId="0B84EFFF" w14:textId="77777777" w:rsidR="00C407A9" w:rsidRDefault="00C407A9" w:rsidP="00C407A9"/>
    <w:p w14:paraId="3A31F58B" w14:textId="4F54F33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rPr>
        <w:t>Programa de Acceso a la Educación (Education Access Scheme)</w:t>
      </w:r>
    </w:p>
    <w:p w14:paraId="29A5B781" w14:textId="09039466"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rPr>
        <w:t>El Programa de Acceso a la Educación (EAS, por sus siglas en inglés) está dirigido a estudiantes que desean ingresar a universidades de Australia Occidental (Western Australia) y que han afrontado circunstancias excepcionales durante sus años de secundaria superior, las cuales afectaron de manera adversa su nivel de estudios durante los Grados 11 and 12. Pueden solicitar una consideración especial que, de ser aprobada, podría ayudarles a ingresar a estudios universitarios.</w:t>
      </w:r>
    </w:p>
    <w:p w14:paraId="557D99D1" w14:textId="77777777" w:rsidR="00194F5F" w:rsidRDefault="00194F5F" w:rsidP="00194F5F">
      <w:pPr>
        <w:pStyle w:val="BodyText"/>
        <w:spacing w:before="120"/>
        <w:rPr>
          <w:shd w:val="clear" w:color="auto" w:fill="FFFFFF"/>
        </w:rPr>
      </w:pPr>
      <w:hyperlink r:id="rId49" w:history="1">
        <w:r>
          <w:rPr>
            <w:rStyle w:val="Hyperlink"/>
          </w:rPr>
          <w:t>https://tisc.edu.au/static/guide/eas.tisc</w:t>
        </w:r>
      </w:hyperlink>
      <w: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FF91" w14:textId="77777777" w:rsidR="00EB5ABE" w:rsidRDefault="00EB5ABE" w:rsidP="00127DAD">
      <w:r>
        <w:separator/>
      </w:r>
    </w:p>
  </w:endnote>
  <w:endnote w:type="continuationSeparator" w:id="0">
    <w:p w14:paraId="248E66FE" w14:textId="77777777" w:rsidR="00EB5ABE" w:rsidRDefault="00EB5ABE" w:rsidP="00127DAD">
      <w:r>
        <w:continuationSeparator/>
      </w:r>
    </w:p>
  </w:endnote>
  <w:endnote w:type="continuationNotice" w:id="1">
    <w:p w14:paraId="760CF462" w14:textId="77777777" w:rsidR="00EB5ABE" w:rsidRDefault="00EB5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tab/>
    </w:r>
    <w: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D24/0269520</w:t>
        </w:r>
      </w:sdtContent>
    </w:sdt>
  </w:p>
  <w:p w14:paraId="3CC1B870" w14:textId="77A9C2A9" w:rsidR="000F6D5A" w:rsidRPr="008626AA" w:rsidRDefault="008626AA" w:rsidP="004C3145">
    <w:pPr>
      <w:pStyle w:val="Footer"/>
      <w:tabs>
        <w:tab w:val="right" w:pos="9638"/>
      </w:tabs>
    </w:pPr>
    <w:r>
      <w:rPr>
        <w:sz w:val="18"/>
        <w:szCs w:val="14"/>
      </w:rPr>
      <w:tab/>
    </w:r>
    <w:r>
      <w:rPr>
        <w:sz w:val="18"/>
        <w:szCs w:val="14"/>
      </w:rPr>
      <w:fldChar w:fldCharType="begin"/>
    </w:r>
    <w:r>
      <w:rPr>
        <w:sz w:val="18"/>
        <w:szCs w:val="14"/>
      </w:rPr>
      <w:instrText xml:space="preserve"> PAGE   \* MERGEFORMAT </w:instrText>
    </w:r>
    <w:r>
      <w:rPr>
        <w:sz w:val="18"/>
        <w:szCs w:val="14"/>
      </w:rPr>
      <w:fldChar w:fldCharType="separate"/>
    </w:r>
    <w:r>
      <w:rPr>
        <w:noProof/>
        <w:sz w:val="18"/>
        <w:szCs w:val="14"/>
      </w:rPr>
      <w:t>2</w:t>
    </w:r>
    <w:r>
      <w:rPr>
        <w:sz w:val="18"/>
        <w:szCs w:val="14"/>
      </w:rPr>
      <w:fldChar w:fldCharType="end"/>
    </w:r>
    <w:r>
      <w:rPr>
        <w:sz w:val="18"/>
        <w:szCs w:val="14"/>
      </w:rPr>
      <w:tab/>
      <w:t>March 2024</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tab/>
    </w:r>
    <w: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D24/0269520</w:t>
        </w:r>
      </w:sdtContent>
    </w:sdt>
  </w:p>
  <w:p w14:paraId="0E2C46A7" w14:textId="654CDE1D" w:rsidR="00AF71AF" w:rsidRPr="00F26894" w:rsidRDefault="00440775" w:rsidP="001E1668">
    <w:pPr>
      <w:pStyle w:val="Footer"/>
      <w:rPr>
        <w:sz w:val="18"/>
        <w:szCs w:val="14"/>
      </w:rPr>
    </w:pPr>
    <w:r>
      <w:rPr>
        <w:sz w:val="18"/>
        <w:szCs w:val="14"/>
      </w:rPr>
      <w:tab/>
    </w:r>
    <w:r>
      <w:rPr>
        <w:sz w:val="18"/>
        <w:szCs w:val="14"/>
      </w:rPr>
      <w:tab/>
      <w:t>March 2026</w:t>
    </w:r>
    <w:r>
      <w:rPr>
        <w:sz w:val="18"/>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tab/>
    </w:r>
    <w: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rPr>
          <w:t>D24/0269520</w:t>
        </w:r>
      </w:sdtContent>
    </w:sdt>
  </w:p>
  <w:p w14:paraId="2F1BA65F" w14:textId="1AD374B0" w:rsidR="00274C17" w:rsidRDefault="00274C17" w:rsidP="00274C17">
    <w:pPr>
      <w:pStyle w:val="Footer"/>
      <w:rPr>
        <w:sz w:val="18"/>
        <w:szCs w:val="14"/>
      </w:rPr>
    </w:pPr>
    <w:r>
      <w:rPr>
        <w:sz w:val="18"/>
        <w:szCs w:val="14"/>
      </w:rPr>
      <w:tab/>
    </w:r>
    <w:r>
      <w:rPr>
        <w:sz w:val="18"/>
        <w:szCs w:val="14"/>
      </w:rPr>
      <w:tab/>
      <w:t>March 2026</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3901A" w14:textId="77777777" w:rsidR="00EB5ABE" w:rsidRDefault="00EB5ABE" w:rsidP="00127DAD">
      <w:r>
        <w:separator/>
      </w:r>
    </w:p>
  </w:footnote>
  <w:footnote w:type="continuationSeparator" w:id="0">
    <w:p w14:paraId="633B5259" w14:textId="77777777" w:rsidR="00EB5ABE" w:rsidRDefault="00EB5ABE" w:rsidP="00127DAD">
      <w:r>
        <w:continuationSeparator/>
      </w:r>
    </w:p>
  </w:footnote>
  <w:footnote w:type="continuationNotice" w:id="1">
    <w:p w14:paraId="3AC890AA" w14:textId="77777777" w:rsidR="00EB5ABE" w:rsidRDefault="00EB5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33E9522" w:rsidR="00633068" w:rsidRDefault="00633068">
    <w:pPr>
      <w:pStyle w:val="Header"/>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019982779" name="Picture 201998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032B8EE6" w:rsidR="00916AF7" w:rsidRDefault="00844EE7"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1" behindDoc="0" locked="0" layoutInCell="1" allowOverlap="1" wp14:anchorId="7FBD5968" wp14:editId="06116FC7">
              <wp:simplePos x="0" y="0"/>
              <wp:positionH relativeFrom="column">
                <wp:posOffset>6023987</wp:posOffset>
              </wp:positionH>
              <wp:positionV relativeFrom="paragraph">
                <wp:posOffset>-338615</wp:posOffset>
              </wp:positionV>
              <wp:extent cx="635000" cy="2400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1E1BDDB9" w14:textId="77777777" w:rsidR="00844EE7" w:rsidRDefault="00844EE7" w:rsidP="00844EE7">
                          <w:pPr>
                            <w:rPr>
                              <w:color w:val="767171" w:themeColor="background2" w:themeShade="80"/>
                              <w:sz w:val="16"/>
                              <w:szCs w:val="14"/>
                            </w:rPr>
                          </w:pPr>
                          <w:r>
                            <w:rPr>
                              <w:color w:val="767171" w:themeColor="background2" w:themeShade="80"/>
                              <w:sz w:val="16"/>
                              <w:szCs w:val="14"/>
                            </w:rPr>
                            <w:t>Spanish</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BD5968" id="_x0000_t202" coordsize="21600,21600" o:spt="202" path="m,l,21600r21600,l21600,xe">
              <v:stroke joinstyle="miter"/>
              <v:path gradientshapeok="t" o:connecttype="rect"/>
            </v:shapetype>
            <v:shape id="Text Box 2" o:spid="_x0000_s1026" type="#_x0000_t202" style="position:absolute;margin-left:474.35pt;margin-top:-26.65pt;width:50pt;height:18.9pt;z-index:251660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" filled="f" stroked="f">
              <v:textbox>
                <w:txbxContent>
                  <w:p w14:paraId="1E1BDDB9" w14:textId="77777777" w:rsidR="00844EE7" w:rsidRDefault="00844EE7" w:rsidP="00844EE7">
                    <w:pPr>
                      <w:rPr>
                        <w:color w:val="767171" w:themeColor="background2" w:themeShade="80"/>
                        <w:sz w:val="16"/>
                        <w:szCs w:val="14"/>
                      </w:rPr>
                    </w:pPr>
                    <w:r>
                      <w:rPr>
                        <w:color w:val="767171" w:themeColor="background2" w:themeShade="80"/>
                        <w:sz w:val="16"/>
                        <w:szCs w:val="14"/>
                      </w:rPr>
                      <w:t>Spanish</w:t>
                    </w:r>
                  </w:p>
                </w:txbxContent>
              </v:textbox>
              <w10:wrap type="square"/>
            </v:shape>
          </w:pict>
        </mc:Fallback>
      </mc:AlternateContent>
    </w:r>
    <w:r w:rsidR="00DD5BF0">
      <w:rPr>
        <w:noProof/>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960859808" name="Picture 960859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563641851" name="Picture 156364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5DFA5AAF" w:rsidR="00037E99" w:rsidRDefault="00037E99" w:rsidP="00127DAD">
    <w:pPr>
      <w:pStyle w:val="Header"/>
    </w:pPr>
    <w:r>
      <w:rPr>
        <w:noProof/>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11617"/>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A7F3E"/>
    <w:rsid w:val="000B0131"/>
    <w:rsid w:val="000B2982"/>
    <w:rsid w:val="000B6A3E"/>
    <w:rsid w:val="000C30B6"/>
    <w:rsid w:val="000C58B8"/>
    <w:rsid w:val="000E61C9"/>
    <w:rsid w:val="000E7B09"/>
    <w:rsid w:val="000F0E47"/>
    <w:rsid w:val="000F3848"/>
    <w:rsid w:val="000F6D5A"/>
    <w:rsid w:val="00102936"/>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5215"/>
    <w:rsid w:val="00193058"/>
    <w:rsid w:val="00194F5F"/>
    <w:rsid w:val="00197BBF"/>
    <w:rsid w:val="00197FB1"/>
    <w:rsid w:val="001B0C7F"/>
    <w:rsid w:val="001D058D"/>
    <w:rsid w:val="001D2929"/>
    <w:rsid w:val="001D4434"/>
    <w:rsid w:val="001D492C"/>
    <w:rsid w:val="001E1668"/>
    <w:rsid w:val="001E62CB"/>
    <w:rsid w:val="001F10A0"/>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45A70"/>
    <w:rsid w:val="00250BF2"/>
    <w:rsid w:val="00251580"/>
    <w:rsid w:val="00255CE2"/>
    <w:rsid w:val="002623AB"/>
    <w:rsid w:val="0026381D"/>
    <w:rsid w:val="002652C2"/>
    <w:rsid w:val="00266A20"/>
    <w:rsid w:val="002715EE"/>
    <w:rsid w:val="00272EB4"/>
    <w:rsid w:val="00274C17"/>
    <w:rsid w:val="002761CC"/>
    <w:rsid w:val="002771D2"/>
    <w:rsid w:val="00281F10"/>
    <w:rsid w:val="002903EE"/>
    <w:rsid w:val="00291390"/>
    <w:rsid w:val="00291E6F"/>
    <w:rsid w:val="002929B0"/>
    <w:rsid w:val="002964D2"/>
    <w:rsid w:val="00296A5F"/>
    <w:rsid w:val="00296F74"/>
    <w:rsid w:val="00297C14"/>
    <w:rsid w:val="002A1749"/>
    <w:rsid w:val="002A3194"/>
    <w:rsid w:val="002C0DAD"/>
    <w:rsid w:val="002C2250"/>
    <w:rsid w:val="002D02F6"/>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178AA"/>
    <w:rsid w:val="00321586"/>
    <w:rsid w:val="0032186D"/>
    <w:rsid w:val="003354CB"/>
    <w:rsid w:val="003403BB"/>
    <w:rsid w:val="00342298"/>
    <w:rsid w:val="00342A47"/>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1BB"/>
    <w:rsid w:val="003D64CD"/>
    <w:rsid w:val="003E1590"/>
    <w:rsid w:val="003F571C"/>
    <w:rsid w:val="00400BC5"/>
    <w:rsid w:val="0040764D"/>
    <w:rsid w:val="004103B9"/>
    <w:rsid w:val="00414D84"/>
    <w:rsid w:val="0042142B"/>
    <w:rsid w:val="00424303"/>
    <w:rsid w:val="004261A8"/>
    <w:rsid w:val="00435213"/>
    <w:rsid w:val="00440775"/>
    <w:rsid w:val="00440C5B"/>
    <w:rsid w:val="0044231C"/>
    <w:rsid w:val="004457C7"/>
    <w:rsid w:val="004529D5"/>
    <w:rsid w:val="00461DEA"/>
    <w:rsid w:val="00464CC8"/>
    <w:rsid w:val="004661A2"/>
    <w:rsid w:val="00466E52"/>
    <w:rsid w:val="004724A6"/>
    <w:rsid w:val="0047509D"/>
    <w:rsid w:val="00487BE2"/>
    <w:rsid w:val="00490077"/>
    <w:rsid w:val="004968BE"/>
    <w:rsid w:val="004A1E57"/>
    <w:rsid w:val="004A2133"/>
    <w:rsid w:val="004A48EA"/>
    <w:rsid w:val="004B06B1"/>
    <w:rsid w:val="004B46FC"/>
    <w:rsid w:val="004B516C"/>
    <w:rsid w:val="004B7529"/>
    <w:rsid w:val="004C0BAE"/>
    <w:rsid w:val="004C3145"/>
    <w:rsid w:val="004C3A1F"/>
    <w:rsid w:val="004C4720"/>
    <w:rsid w:val="004C6818"/>
    <w:rsid w:val="004C7715"/>
    <w:rsid w:val="004C7E76"/>
    <w:rsid w:val="004D0B2E"/>
    <w:rsid w:val="004D2560"/>
    <w:rsid w:val="004E380C"/>
    <w:rsid w:val="004E3938"/>
    <w:rsid w:val="0050052A"/>
    <w:rsid w:val="005007C0"/>
    <w:rsid w:val="00501AA4"/>
    <w:rsid w:val="00503B25"/>
    <w:rsid w:val="00503FE2"/>
    <w:rsid w:val="00511C33"/>
    <w:rsid w:val="00520B94"/>
    <w:rsid w:val="00525602"/>
    <w:rsid w:val="00525F7E"/>
    <w:rsid w:val="00530AA7"/>
    <w:rsid w:val="00532B84"/>
    <w:rsid w:val="005333B0"/>
    <w:rsid w:val="0053773E"/>
    <w:rsid w:val="00542BAC"/>
    <w:rsid w:val="00545EC7"/>
    <w:rsid w:val="00553638"/>
    <w:rsid w:val="00563CCB"/>
    <w:rsid w:val="00566FE9"/>
    <w:rsid w:val="005674C3"/>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5F64CF"/>
    <w:rsid w:val="0060579B"/>
    <w:rsid w:val="00620FC1"/>
    <w:rsid w:val="006219B3"/>
    <w:rsid w:val="006261DA"/>
    <w:rsid w:val="00633068"/>
    <w:rsid w:val="00641758"/>
    <w:rsid w:val="00642E22"/>
    <w:rsid w:val="006446D2"/>
    <w:rsid w:val="0065350E"/>
    <w:rsid w:val="006557E1"/>
    <w:rsid w:val="00657088"/>
    <w:rsid w:val="0066015D"/>
    <w:rsid w:val="00660AA3"/>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1097"/>
    <w:rsid w:val="006E2FC1"/>
    <w:rsid w:val="006E4EA4"/>
    <w:rsid w:val="006F1D58"/>
    <w:rsid w:val="006F639D"/>
    <w:rsid w:val="0070116B"/>
    <w:rsid w:val="00703A97"/>
    <w:rsid w:val="00706EE4"/>
    <w:rsid w:val="00710EE3"/>
    <w:rsid w:val="00714340"/>
    <w:rsid w:val="00716BF8"/>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4237"/>
    <w:rsid w:val="007A58C0"/>
    <w:rsid w:val="007A782B"/>
    <w:rsid w:val="007B150D"/>
    <w:rsid w:val="007B717F"/>
    <w:rsid w:val="007C564E"/>
    <w:rsid w:val="007D0E81"/>
    <w:rsid w:val="007D1157"/>
    <w:rsid w:val="007D200B"/>
    <w:rsid w:val="007D7F5E"/>
    <w:rsid w:val="007E148D"/>
    <w:rsid w:val="007F30C7"/>
    <w:rsid w:val="007F647E"/>
    <w:rsid w:val="0080285D"/>
    <w:rsid w:val="00804B0A"/>
    <w:rsid w:val="00824417"/>
    <w:rsid w:val="008250E2"/>
    <w:rsid w:val="00830D9A"/>
    <w:rsid w:val="0083122D"/>
    <w:rsid w:val="00833DC4"/>
    <w:rsid w:val="008358E7"/>
    <w:rsid w:val="00840EFA"/>
    <w:rsid w:val="00843421"/>
    <w:rsid w:val="00843E30"/>
    <w:rsid w:val="00844EE7"/>
    <w:rsid w:val="00845372"/>
    <w:rsid w:val="00845C58"/>
    <w:rsid w:val="00846E56"/>
    <w:rsid w:val="00854C98"/>
    <w:rsid w:val="008626AA"/>
    <w:rsid w:val="008631A5"/>
    <w:rsid w:val="008668B7"/>
    <w:rsid w:val="00867700"/>
    <w:rsid w:val="00870B08"/>
    <w:rsid w:val="008815D8"/>
    <w:rsid w:val="0088584D"/>
    <w:rsid w:val="0088603C"/>
    <w:rsid w:val="00886E6E"/>
    <w:rsid w:val="008911E4"/>
    <w:rsid w:val="008A1F74"/>
    <w:rsid w:val="008A2AFB"/>
    <w:rsid w:val="008A7171"/>
    <w:rsid w:val="008A7361"/>
    <w:rsid w:val="008B02EB"/>
    <w:rsid w:val="008C5DC1"/>
    <w:rsid w:val="008D7EFC"/>
    <w:rsid w:val="008E18BD"/>
    <w:rsid w:val="008E34DC"/>
    <w:rsid w:val="008E6F71"/>
    <w:rsid w:val="008F0539"/>
    <w:rsid w:val="00902922"/>
    <w:rsid w:val="0091123E"/>
    <w:rsid w:val="00916AF7"/>
    <w:rsid w:val="009239C6"/>
    <w:rsid w:val="00924E9D"/>
    <w:rsid w:val="00933297"/>
    <w:rsid w:val="0094045E"/>
    <w:rsid w:val="00944008"/>
    <w:rsid w:val="0095456A"/>
    <w:rsid w:val="00954A09"/>
    <w:rsid w:val="0095620D"/>
    <w:rsid w:val="009567D2"/>
    <w:rsid w:val="009602C7"/>
    <w:rsid w:val="00967403"/>
    <w:rsid w:val="00976958"/>
    <w:rsid w:val="00986F86"/>
    <w:rsid w:val="00991E2F"/>
    <w:rsid w:val="00992BCE"/>
    <w:rsid w:val="009964BF"/>
    <w:rsid w:val="009A6E51"/>
    <w:rsid w:val="009C2D28"/>
    <w:rsid w:val="009C3043"/>
    <w:rsid w:val="009D2A97"/>
    <w:rsid w:val="009D40AE"/>
    <w:rsid w:val="009E1877"/>
    <w:rsid w:val="009E3E4E"/>
    <w:rsid w:val="009E6B9F"/>
    <w:rsid w:val="009F3FC4"/>
    <w:rsid w:val="009F7FE4"/>
    <w:rsid w:val="00A16726"/>
    <w:rsid w:val="00A24DCA"/>
    <w:rsid w:val="00A26AEF"/>
    <w:rsid w:val="00A26CA2"/>
    <w:rsid w:val="00A31503"/>
    <w:rsid w:val="00A31523"/>
    <w:rsid w:val="00A35095"/>
    <w:rsid w:val="00A43B6C"/>
    <w:rsid w:val="00A44533"/>
    <w:rsid w:val="00A52B71"/>
    <w:rsid w:val="00A57603"/>
    <w:rsid w:val="00A64252"/>
    <w:rsid w:val="00A64930"/>
    <w:rsid w:val="00A66041"/>
    <w:rsid w:val="00A66AAD"/>
    <w:rsid w:val="00A7126F"/>
    <w:rsid w:val="00A8272B"/>
    <w:rsid w:val="00A871DC"/>
    <w:rsid w:val="00A933D0"/>
    <w:rsid w:val="00AA413D"/>
    <w:rsid w:val="00AB030C"/>
    <w:rsid w:val="00AB2714"/>
    <w:rsid w:val="00AB51EC"/>
    <w:rsid w:val="00AB5509"/>
    <w:rsid w:val="00AC641B"/>
    <w:rsid w:val="00AC77DE"/>
    <w:rsid w:val="00AD2BDC"/>
    <w:rsid w:val="00AE1E3F"/>
    <w:rsid w:val="00AE24CA"/>
    <w:rsid w:val="00AE2E38"/>
    <w:rsid w:val="00AE4727"/>
    <w:rsid w:val="00AF1C2B"/>
    <w:rsid w:val="00AF28A2"/>
    <w:rsid w:val="00AF71AF"/>
    <w:rsid w:val="00B06BD2"/>
    <w:rsid w:val="00B1116D"/>
    <w:rsid w:val="00B143E6"/>
    <w:rsid w:val="00B174C0"/>
    <w:rsid w:val="00B17C7F"/>
    <w:rsid w:val="00B20E35"/>
    <w:rsid w:val="00B374A9"/>
    <w:rsid w:val="00B408AC"/>
    <w:rsid w:val="00B54143"/>
    <w:rsid w:val="00B544BA"/>
    <w:rsid w:val="00B56A6C"/>
    <w:rsid w:val="00B6170F"/>
    <w:rsid w:val="00B654A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205E"/>
    <w:rsid w:val="00CC4F46"/>
    <w:rsid w:val="00CC51B0"/>
    <w:rsid w:val="00CC54CA"/>
    <w:rsid w:val="00CD3045"/>
    <w:rsid w:val="00CE19F1"/>
    <w:rsid w:val="00CE1AD1"/>
    <w:rsid w:val="00D00DB8"/>
    <w:rsid w:val="00D05C38"/>
    <w:rsid w:val="00D14913"/>
    <w:rsid w:val="00D16170"/>
    <w:rsid w:val="00D21BAC"/>
    <w:rsid w:val="00D23490"/>
    <w:rsid w:val="00D23876"/>
    <w:rsid w:val="00D2534A"/>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06D7"/>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4842"/>
    <w:rsid w:val="00E05F27"/>
    <w:rsid w:val="00E06E82"/>
    <w:rsid w:val="00E140E6"/>
    <w:rsid w:val="00E17418"/>
    <w:rsid w:val="00E229C1"/>
    <w:rsid w:val="00E27F27"/>
    <w:rsid w:val="00E31C65"/>
    <w:rsid w:val="00E3357D"/>
    <w:rsid w:val="00E36C6A"/>
    <w:rsid w:val="00E420D5"/>
    <w:rsid w:val="00E43216"/>
    <w:rsid w:val="00E43656"/>
    <w:rsid w:val="00E437C3"/>
    <w:rsid w:val="00E44F80"/>
    <w:rsid w:val="00E50231"/>
    <w:rsid w:val="00E52115"/>
    <w:rsid w:val="00E531BE"/>
    <w:rsid w:val="00E55C69"/>
    <w:rsid w:val="00E643C2"/>
    <w:rsid w:val="00E704FE"/>
    <w:rsid w:val="00E71C01"/>
    <w:rsid w:val="00E75149"/>
    <w:rsid w:val="00E90EF0"/>
    <w:rsid w:val="00E9357B"/>
    <w:rsid w:val="00E94607"/>
    <w:rsid w:val="00E95CBA"/>
    <w:rsid w:val="00E95E12"/>
    <w:rsid w:val="00E977D2"/>
    <w:rsid w:val="00EA3E24"/>
    <w:rsid w:val="00EB0EBD"/>
    <w:rsid w:val="00EB0FD1"/>
    <w:rsid w:val="00EB1DBF"/>
    <w:rsid w:val="00EB5069"/>
    <w:rsid w:val="00EB5ABE"/>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21C9"/>
    <w:rsid w:val="00F754D0"/>
    <w:rsid w:val="00F760B4"/>
    <w:rsid w:val="00F8161E"/>
    <w:rsid w:val="00F8529B"/>
    <w:rsid w:val="00F91741"/>
    <w:rsid w:val="00F9203C"/>
    <w:rsid w:val="00F93BAC"/>
    <w:rsid w:val="00F96A8B"/>
    <w:rsid w:val="00F97BC1"/>
    <w:rsid w:val="00FA03FB"/>
    <w:rsid w:val="00FA1899"/>
    <w:rsid w:val="00FA52F6"/>
    <w:rsid w:val="00FA5B5A"/>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 w:val="35D7AA0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1F475BB9-D1A4-4F74-868C-88982E5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isc.edu.au/static/guide/university-admissions-index.tisc" TargetMode="External"/><Relationship Id="rId18" Type="http://schemas.openxmlformats.org/officeDocument/2006/relationships/hyperlink" Target="https://www.tisc.edu.au/static/guide/atar-about.tisc" TargetMode="External"/><Relationship Id="rId26" Type="http://schemas.openxmlformats.org/officeDocument/2006/relationships/hyperlink" Target="https://www.notredame.edu.au/study/pathways/tertiary-pathway-program" TargetMode="External"/><Relationship Id="rId39" Type="http://schemas.openxmlformats.org/officeDocument/2006/relationships/hyperlink" Target="https://www.murdoch.edu.au/course/Enabling/N1077" TargetMode="External"/><Relationship Id="rId21" Type="http://schemas.openxmlformats.org/officeDocument/2006/relationships/header" Target="header2.xml"/><Relationship Id="rId34" Type="http://schemas.openxmlformats.org/officeDocument/2006/relationships/hyperlink" Target="https://study.curtin.edu.au/applying/pathways/portfolio-entry" TargetMode="External"/><Relationship Id="rId42" Type="http://schemas.openxmlformats.org/officeDocument/2006/relationships/hyperlink" Target="https://www.bigpicture.org.au/what-international-big-picture-learning-credential" TargetMode="External"/><Relationship Id="rId47" Type="http://schemas.openxmlformats.org/officeDocument/2006/relationships/hyperlink" Target="https://www.notredame.edu.au/study/applications-and-admissions/pathways/other-entry-pathways"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www.tisc.edu.au/static/school-circular/circular-index.tisc" TargetMode="External"/><Relationship Id="rId29" Type="http://schemas.openxmlformats.org/officeDocument/2006/relationships/hyperlink" Target="https://www.ecu.edu.au/future-students/course-entry" TargetMode="External"/><Relationship Id="rId11" Type="http://schemas.openxmlformats.org/officeDocument/2006/relationships/endnotes" Target="endnotes.xml"/><Relationship Id="rId24" Type="http://schemas.openxmlformats.org/officeDocument/2006/relationships/hyperlink" Target="https://www.ecu.edu.au/degrees/uniprep" TargetMode="External"/><Relationship Id="rId32" Type="http://schemas.openxmlformats.org/officeDocument/2006/relationships/hyperlink" Target="https://www.uwa.edu.au/study/how-to-apply/entry-standards" TargetMode="External"/><Relationship Id="rId37" Type="http://schemas.openxmlformats.org/officeDocument/2006/relationships/hyperlink" Target="https://karda.curtin.edu.au/study/enabling-courses" TargetMode="External"/><Relationship Id="rId40" Type="http://schemas.openxmlformats.org/officeDocument/2006/relationships/hyperlink" Target="https://www.notredame.edu.au/students/support/aboriginal-and-torres-strait-islander-support" TargetMode="External"/><Relationship Id="rId45" Type="http://schemas.openxmlformats.org/officeDocument/2006/relationships/hyperlink" Target="https://www.ecu.edu.au/future-students/course-entry/experience-based-entry-scheme" TargetMode="External"/><Relationship Id="rId5" Type="http://schemas.openxmlformats.org/officeDocument/2006/relationships/customXml" Target="../customXml/item4.xml"/><Relationship Id="rId15" Type="http://schemas.openxmlformats.org/officeDocument/2006/relationships/hyperlink" Target="https://www.tisc.edu.au/static/guide/waufp.tisc" TargetMode="External"/><Relationship Id="rId23" Type="http://schemas.openxmlformats.org/officeDocument/2006/relationships/hyperlink" Target="https://www.curtin.edu.au/study/applying/pathways/uniready-enabling-program/" TargetMode="External"/><Relationship Id="rId28" Type="http://schemas.openxmlformats.org/officeDocument/2006/relationships/hyperlink" Target="https://www.curtin.edu.au/study/applying/pathways/tafe-vet/" TargetMode="External"/><Relationship Id="rId36" Type="http://schemas.openxmlformats.org/officeDocument/2006/relationships/hyperlink" Target="https://www.murdoch.edu.au/study/pathways-to-uni/enabling-pathways/experience-based-entry/media-portfolio" TargetMode="External"/><Relationship Id="rId49" Type="http://schemas.openxmlformats.org/officeDocument/2006/relationships/hyperlink" Target="https://tisc.edu.au/static/guide/eas.tisc"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notredame.edu.au/study/applications-and-admissions/pathways/other-entry-pathways" TargetMode="External"/><Relationship Id="rId44" Type="http://schemas.openxmlformats.org/officeDocument/2006/relationships/footer" Target="footer3.xm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tisc.edu.au/static/guide/stat.tisc" TargetMode="External"/><Relationship Id="rId22" Type="http://schemas.openxmlformats.org/officeDocument/2006/relationships/footer" Target="footer2.xml"/><Relationship Id="rId27" Type="http://schemas.openxmlformats.org/officeDocument/2006/relationships/hyperlink" Target="https://www.uwa.edu.au/study/how-to-apply/admission-entry-pathways/enabling-programs" TargetMode="External"/><Relationship Id="rId30" Type="http://schemas.openxmlformats.org/officeDocument/2006/relationships/hyperlink" Target="https://www.murdoch.edu.au/study/pathways-to-uni/vocational-education-and-training" TargetMode="External"/><Relationship Id="rId35" Type="http://schemas.openxmlformats.org/officeDocument/2006/relationships/hyperlink" Target="https://www.ecu.edu.au/future-students/course-entry/creative-arts-portfolio-entry" TargetMode="External"/><Relationship Id="rId43" Type="http://schemas.openxmlformats.org/officeDocument/2006/relationships/header" Target="header3.xml"/><Relationship Id="rId48" Type="http://schemas.openxmlformats.org/officeDocument/2006/relationships/hyperlink" Target="https://www.uwa.edu.au/study/How-to-apply/Admission-entry-pathways/Experience-based-entry" TargetMode="External"/><Relationship Id="rId8" Type="http://schemas.openxmlformats.org/officeDocument/2006/relationships/settings" Target="settings.xml"/><Relationship Id="rId51" Type="http://schemas.openxmlformats.org/officeDocument/2006/relationships/glossaryDocument" Target="glossary/document.xml"/><Relationship Id="rId3" Type="http://schemas.openxmlformats.org/officeDocument/2006/relationships/customXml" Target="../customXml/item2.xml"/><Relationship Id="rId12" Type="http://schemas.openxmlformats.org/officeDocument/2006/relationships/hyperlink" Target="https://tisc.edu.au/static/guide/download.tisc" TargetMode="External"/><Relationship Id="rId17" Type="http://schemas.openxmlformats.org/officeDocument/2006/relationships/hyperlink" Target="https://www.tisc.edu.au/static/statistics/scaling/scaling-index.tisc" TargetMode="External"/><Relationship Id="rId25" Type="http://schemas.openxmlformats.org/officeDocument/2006/relationships/hyperlink" Target="https://www.murdoch.edu.au/study/pathways-to-uni/enabling-pathways" TargetMode="External"/><Relationship Id="rId33"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38" Type="http://schemas.openxmlformats.org/officeDocument/2006/relationships/hyperlink" Target="https://www.ecu.edu.au/degrees/aboriginal-and-or-torres-strait-islanders" TargetMode="External"/><Relationship Id="rId46" Type="http://schemas.openxmlformats.org/officeDocument/2006/relationships/hyperlink" Target="https://www.murdoch.edu.au/study/pathways-to-uni/enabling-pathways/experience-based-entry" TargetMode="External"/><Relationship Id="rId20" Type="http://schemas.openxmlformats.org/officeDocument/2006/relationships/footer" Target="footer1.xml"/><Relationship Id="rId41" Type="http://schemas.openxmlformats.org/officeDocument/2006/relationships/hyperlink" Target="https://www.uwa.edu.au/study/indigenous-study" TargetMode="External"/><Relationship Id="rId1" Type="http://schemas.microsoft.com/office/2006/relationships/keyMapCustomizations" Target="customizations.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E472CB"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A7F3E"/>
    <w:rsid w:val="000C0328"/>
    <w:rsid w:val="00107253"/>
    <w:rsid w:val="00155B58"/>
    <w:rsid w:val="001562FA"/>
    <w:rsid w:val="00342A47"/>
    <w:rsid w:val="003F43C2"/>
    <w:rsid w:val="00462B0A"/>
    <w:rsid w:val="004C3A1F"/>
    <w:rsid w:val="004C60B5"/>
    <w:rsid w:val="004C7E76"/>
    <w:rsid w:val="004E331B"/>
    <w:rsid w:val="00544DDE"/>
    <w:rsid w:val="00582EC3"/>
    <w:rsid w:val="005F64CF"/>
    <w:rsid w:val="00716BF8"/>
    <w:rsid w:val="007B717F"/>
    <w:rsid w:val="00843421"/>
    <w:rsid w:val="008C2594"/>
    <w:rsid w:val="008E06C4"/>
    <w:rsid w:val="00991E2F"/>
    <w:rsid w:val="009E3A0A"/>
    <w:rsid w:val="009F673B"/>
    <w:rsid w:val="00A056E1"/>
    <w:rsid w:val="00AB2714"/>
    <w:rsid w:val="00AD2568"/>
    <w:rsid w:val="00B262FE"/>
    <w:rsid w:val="00B654AF"/>
    <w:rsid w:val="00B732FB"/>
    <w:rsid w:val="00BB6A92"/>
    <w:rsid w:val="00BF438D"/>
    <w:rsid w:val="00D34692"/>
    <w:rsid w:val="00DC22A5"/>
    <w:rsid w:val="00E04842"/>
    <w:rsid w:val="00E44F80"/>
    <w:rsid w:val="00E472CB"/>
    <w:rsid w:val="00E52115"/>
    <w:rsid w:val="00E634CA"/>
    <w:rsid w:val="00EE7CC0"/>
    <w:rsid w:val="00EF4D34"/>
    <w:rsid w:val="00EF577B"/>
    <w:rsid w:val="00F11554"/>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4.xml><?xml version="1.0" encoding="utf-8"?>
<ds:datastoreItem xmlns:ds="http://schemas.openxmlformats.org/officeDocument/2006/customXml" ds:itemID="{645564F2-5423-479D-A563-B5A98A6FBD48}"/>
</file>

<file path=docProps/app.xml><?xml version="1.0" encoding="utf-8"?>
<Properties xmlns="http://schemas.openxmlformats.org/officeDocument/2006/extended-properties" xmlns:vt="http://schemas.openxmlformats.org/officeDocument/2006/docPropsVTypes">
  <Template>Normal</Template>
  <TotalTime>9</TotalTime>
  <Pages>5</Pages>
  <Words>1740</Words>
  <Characters>9919</Characters>
  <Application>Microsoft Office Word</Application>
  <DocSecurity>0</DocSecurity>
  <Lines>82</Lines>
  <Paragraphs>23</Paragraphs>
  <ScaleCrop>false</ScaleCrop>
  <Company>Department of Education Western Australia</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38</cp:revision>
  <cp:lastPrinted>2023-03-11T09:43:00Z</cp:lastPrinted>
  <dcterms:created xsi:type="dcterms:W3CDTF">2025-11-04T14:24:00Z</dcterms:created>
  <dcterms:modified xsi:type="dcterms:W3CDTF">2026-04-14T02:26:00Z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2026-03-25T08:59:23Z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6d6bfbdb-fd98-42f7-b91a-e02d9106e23c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