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D5A2" w14:textId="2BCFFDDE" w:rsidR="002E0754" w:rsidRPr="000556EB" w:rsidRDefault="00A6602E" w:rsidP="000556EB">
      <w:pPr>
        <w:pStyle w:val="Heading1"/>
        <w:spacing w:before="0"/>
        <w:rPr>
          <w:sz w:val="48"/>
          <w:szCs w:val="48"/>
        </w:rPr>
      </w:pPr>
      <w:bookmarkStart w:id="0" w:name="_Hlk103166844"/>
      <w:bookmarkStart w:id="1" w:name="_Toc84334888"/>
      <w:r>
        <w:rPr>
          <w:bCs/>
          <w:sz w:val="48"/>
          <w:szCs w:val="48"/>
        </w:rPr>
        <w:t>Qué es el WACE y las opciones para estudiantes de Grados 11 y 12</w:t>
      </w:r>
    </w:p>
    <w:p w14:paraId="0B0DC4B8" w14:textId="2D58F194" w:rsidR="00CB54C3" w:rsidRPr="0034331E" w:rsidRDefault="00CB54C3" w:rsidP="000556EB">
      <w:pPr>
        <w:pStyle w:val="Title"/>
        <w:spacing w:after="120"/>
        <w:rPr>
          <w:b w:val="0"/>
          <w:color w:val="auto"/>
          <w:sz w:val="36"/>
        </w:rPr>
      </w:pPr>
      <w:r>
        <w:rPr>
          <w:bCs/>
          <w:color w:val="auto"/>
          <w:sz w:val="36"/>
        </w:rPr>
        <w:t>Información para padres y cuidadores</w:t>
      </w:r>
    </w:p>
    <w:bookmarkEnd w:id="0"/>
    <w:bookmarkEnd w:id="1"/>
    <w:p w14:paraId="5554E5A6" w14:textId="30E7F7C2" w:rsidR="007364C2" w:rsidRPr="000556EB" w:rsidRDefault="007364C2" w:rsidP="000556EB">
      <w:pPr>
        <w:widowControl w:val="0"/>
        <w:autoSpaceDE w:val="0"/>
        <w:autoSpaceDN w:val="0"/>
        <w:spacing w:before="209"/>
        <w:ind w:right="166"/>
        <w:rPr>
          <w:rFonts w:eastAsia="Arial"/>
          <w:szCs w:val="22"/>
        </w:rPr>
      </w:pPr>
      <w:r>
        <w:rPr>
          <w:rFonts w:eastAsia="Arial"/>
          <w:szCs w:val="22"/>
        </w:rPr>
        <w:t>Los estudiantes provienen de una gran variedad de culturas y tienen necesidades y aspiraciones distintas. Algunos pueden estar interesados en ir a la universidad, a otros les gustaría dedicarse a un oficio en particular que implica más estudios y formación, y otros pueden estar contemplando incorporarse a la fuerza laboral después de graduarse de la escuela. Por este motivo, Australia Occidental (Western Australia) ofrece una amplia gama de opciones para estudiantes de los Grados 11 y 12 que les ofrecen múltiples vías de acceso a la universidad, la formación y el empleo.</w:t>
      </w:r>
    </w:p>
    <w:p w14:paraId="59E68BF3" w14:textId="0C641E79" w:rsidR="00CB54C3" w:rsidRPr="000556EB" w:rsidRDefault="0082019B" w:rsidP="000556EB">
      <w:pPr>
        <w:pStyle w:val="Heading2"/>
      </w:pPr>
      <w:r>
        <w:rPr>
          <w:bCs/>
        </w:rPr>
        <w:t>El informe WASSA</w:t>
      </w:r>
    </w:p>
    <w:p w14:paraId="2360DF10" w14:textId="64148D5E" w:rsidR="0082019B" w:rsidRDefault="00CB54C3" w:rsidP="005D1D94">
      <w:pPr>
        <w:pStyle w:val="BodyText"/>
        <w:ind w:right="-2"/>
      </w:pPr>
      <w:r>
        <w:t>Todos los estudiantes reciben un Informe de Resultados del Estudiante de Australia Occidental (WASSA, por sus siglas en inglés) cuando terminan el Grado 12. El WASSA registra formalmente los resultados del estudiante en cada asignatura, cualificación y programa que completó durante los estudios secundarios superiores.</w:t>
      </w:r>
    </w:p>
    <w:p w14:paraId="734AA23F" w14:textId="17B4860A" w:rsidR="0082019B" w:rsidRDefault="0082019B" w:rsidP="000556EB">
      <w:pPr>
        <w:pStyle w:val="Heading2"/>
      </w:pPr>
      <w:r>
        <w:rPr>
          <w:bCs/>
        </w:rPr>
        <w:t>El certificado WACE</w:t>
      </w:r>
    </w:p>
    <w:p w14:paraId="7F259973" w14:textId="30A634F7" w:rsidR="0082019B" w:rsidRPr="00A455A2" w:rsidRDefault="0082019B" w:rsidP="0082019B">
      <w:pPr>
        <w:widowControl w:val="0"/>
        <w:autoSpaceDE w:val="0"/>
        <w:autoSpaceDN w:val="0"/>
        <w:spacing w:before="1"/>
        <w:ind w:right="-2"/>
        <w:rPr>
          <w:rFonts w:eastAsia="Arial"/>
          <w:spacing w:val="-2"/>
          <w:szCs w:val="22"/>
        </w:rPr>
      </w:pPr>
      <w:r>
        <w:rPr>
          <w:rFonts w:eastAsia="Arial"/>
          <w:szCs w:val="22"/>
        </w:rPr>
        <w:t>El Certificado de Educación de Australia Occidental (WACE, por sus siglas en inglés) es un certificado de estudios secundarios superiores de reconocimiento nacional en el Marco Australiano de Cualificaciones. El WACE se otorga a estudiantes que hayan completado 2 años de la escuela secundaria superior y que hayan alcanzado los estándares requeridos. El WACE es reconocido por universidades,</w:t>
      </w:r>
      <w:r>
        <w:rPr>
          <w:rFonts w:eastAsia="Arial"/>
          <w:color w:val="FF0000"/>
          <w:szCs w:val="22"/>
        </w:rPr>
        <w:t xml:space="preserve"> </w:t>
      </w:r>
      <w:r>
        <w:rPr>
          <w:rFonts w:eastAsia="Arial"/>
          <w:szCs w:val="22"/>
        </w:rPr>
        <w:t>otros proveedores de capacitación terciaria y la industria.</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ind w:right="-2"/>
      </w:pPr>
      <w:r>
        <w:t>Para recibir el WACE, los estudiantes deberán:</w:t>
      </w:r>
    </w:p>
    <w:p w14:paraId="5F171CAE" w14:textId="5B036F54" w:rsidR="00BF3E72" w:rsidRDefault="00BF3E72" w:rsidP="00D673EF">
      <w:pPr>
        <w:pStyle w:val="ListParagraph"/>
        <w:widowControl w:val="0"/>
        <w:numPr>
          <w:ilvl w:val="0"/>
          <w:numId w:val="27"/>
        </w:numPr>
        <w:autoSpaceDE w:val="0"/>
        <w:autoSpaceDN w:val="0"/>
        <w:ind w:left="417" w:right="-2"/>
      </w:pPr>
      <w:r>
        <w:t>completar un mínimo de 20 unidades o su equivalente, entre las que se incluyen:</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ind w:right="-2"/>
      </w:pPr>
      <w:r>
        <w:t>diez unidades de Grado 12 o su equivalente;</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ind w:right="-2"/>
      </w:pPr>
      <w:r>
        <w:t>cuatro unidades relacionadas con el aprendizaje del idioma inglés;</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ind w:right="-2"/>
      </w:pPr>
      <w:r>
        <w:t>dos unidades de Grado 12 de la Lista A (arte, idiomas, ciencias sociales);</w:t>
      </w:r>
    </w:p>
    <w:p w14:paraId="127367FF" w14:textId="31308FC4" w:rsidR="00B6232D" w:rsidRDefault="001F6F03" w:rsidP="00207B81">
      <w:pPr>
        <w:pStyle w:val="ListParagraph"/>
        <w:widowControl w:val="0"/>
        <w:tabs>
          <w:tab w:val="clear" w:pos="340"/>
          <w:tab w:val="clear" w:pos="680"/>
        </w:tabs>
        <w:autoSpaceDE w:val="0"/>
        <w:autoSpaceDN w:val="0"/>
        <w:ind w:left="1440" w:right="-2" w:firstLine="0"/>
      </w:pPr>
      <w:r>
        <w:t>y de la lista B (matemáticas, ciencias, tecnología).</w:t>
      </w:r>
    </w:p>
    <w:p w14:paraId="0A106E3A" w14:textId="77777777" w:rsidR="0010061D" w:rsidRPr="0010061D" w:rsidRDefault="0090756A" w:rsidP="0010061D">
      <w:pPr>
        <w:pStyle w:val="ListParagraph"/>
        <w:widowControl w:val="0"/>
        <w:numPr>
          <w:ilvl w:val="0"/>
          <w:numId w:val="23"/>
        </w:numPr>
        <w:autoSpaceDE w:val="0"/>
        <w:autoSpaceDN w:val="0"/>
        <w:ind w:left="417" w:right="-2"/>
      </w:pPr>
      <w:r>
        <w:rPr>
          <w:rFonts w:eastAsia="Arial"/>
          <w:szCs w:val="22"/>
        </w:rPr>
        <w:t>obtener al menos 14 calificaciones de C o más en los Grados 11 y 12, incluidas al menos 6 calificaciones de C</w:t>
      </w:r>
    </w:p>
    <w:p w14:paraId="7D696CE6" w14:textId="77777777" w:rsidR="00C36699" w:rsidRDefault="0090756A" w:rsidP="00C36699">
      <w:pPr>
        <w:pStyle w:val="ListParagraph"/>
        <w:widowControl w:val="0"/>
        <w:autoSpaceDE w:val="0"/>
        <w:autoSpaceDN w:val="0"/>
        <w:ind w:left="417" w:right="-2" w:firstLine="0"/>
        <w:rPr>
          <w:rFonts w:eastAsia="Arial"/>
          <w:szCs w:val="22"/>
        </w:rPr>
      </w:pPr>
      <w:r>
        <w:rPr>
          <w:rFonts w:eastAsia="Arial"/>
          <w:szCs w:val="22"/>
        </w:rPr>
        <w:t>(o su equivalente) en el Grado 12.</w:t>
      </w:r>
    </w:p>
    <w:p w14:paraId="6E200538" w14:textId="1A2A5E30" w:rsidR="008E3899" w:rsidRPr="008E3899" w:rsidRDefault="00C36699" w:rsidP="00C36699">
      <w:pPr>
        <w:pStyle w:val="ListParagraph"/>
        <w:widowControl w:val="0"/>
        <w:numPr>
          <w:ilvl w:val="0"/>
          <w:numId w:val="23"/>
        </w:numPr>
        <w:autoSpaceDE w:val="0"/>
        <w:autoSpaceDN w:val="0"/>
        <w:ind w:left="417" w:right="-2"/>
        <w:rPr>
          <w:rFonts w:eastAsia="Arial"/>
          <w:szCs w:val="22"/>
        </w:rPr>
      </w:pPr>
      <w:r>
        <w:t xml:space="preserve">Completar: </w:t>
      </w:r>
    </w:p>
    <w:p w14:paraId="144BBE9D" w14:textId="60B44B4E" w:rsidR="008E3899" w:rsidRPr="008E3899" w:rsidRDefault="00C36699" w:rsidP="008E3899">
      <w:pPr>
        <w:pStyle w:val="ListParagraph"/>
        <w:widowControl w:val="0"/>
        <w:numPr>
          <w:ilvl w:val="1"/>
          <w:numId w:val="23"/>
        </w:numPr>
        <w:autoSpaceDE w:val="0"/>
        <w:autoSpaceDN w:val="0"/>
        <w:ind w:right="-2"/>
        <w:rPr>
          <w:rFonts w:eastAsia="Arial"/>
          <w:szCs w:val="22"/>
        </w:rPr>
      </w:pPr>
      <w:r>
        <w:t>al menos cuatro cursos ATARPuntuación de A de Grado 12, o</w:t>
      </w:r>
    </w:p>
    <w:p w14:paraId="5C7AE731" w14:textId="77777777" w:rsidR="008E3899" w:rsidRPr="008E3899" w:rsidRDefault="00C36699" w:rsidP="008E3899">
      <w:pPr>
        <w:pStyle w:val="ListParagraph"/>
        <w:widowControl w:val="0"/>
        <w:numPr>
          <w:ilvl w:val="1"/>
          <w:numId w:val="23"/>
        </w:numPr>
        <w:autoSpaceDE w:val="0"/>
        <w:autoSpaceDN w:val="0"/>
        <w:ind w:right="-2"/>
        <w:rPr>
          <w:rFonts w:eastAsia="Arial"/>
          <w:szCs w:val="22"/>
        </w:rPr>
      </w:pPr>
      <w:r>
        <w:t>al menos cinco cursos generales de Grado 12 (o una combinación de cursos generales y un máximo de tres cursos ATAR de Grado 12) o su equivalente, o</w:t>
      </w:r>
    </w:p>
    <w:p w14:paraId="111D2DE1" w14:textId="2F4597BE" w:rsidR="00A17606" w:rsidRPr="000556EB" w:rsidRDefault="00C36699" w:rsidP="00FA1942">
      <w:pPr>
        <w:pStyle w:val="ListParagraph"/>
        <w:widowControl w:val="0"/>
        <w:numPr>
          <w:ilvl w:val="1"/>
          <w:numId w:val="23"/>
        </w:numPr>
        <w:autoSpaceDE w:val="0"/>
        <w:autoSpaceDN w:val="0"/>
        <w:ind w:right="-2"/>
      </w:pPr>
      <w:r>
        <w:t xml:space="preserve"> completar un Certificado II (o mayor) VET junto con cursos ATAR, generales o preuniversitarios (Foundation).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ind w:left="392" w:right="-2"/>
      </w:pPr>
      <w:r>
        <w:t>Demostrar que se cumplen los requisitos mínimos de alfabetización y habilidades matemáticas.</w:t>
      </w:r>
    </w:p>
    <w:p w14:paraId="5D2332AF" w14:textId="3B7C0B66" w:rsidR="002E0754"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5045176B" w14:textId="77777777" w:rsidR="008528A6" w:rsidRPr="00A6602E" w:rsidRDefault="008528A6"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spacing w:after="0"/>
        <w:rPr>
          <w:rStyle w:val="Heading2Char"/>
          <w:b/>
          <w:sz w:val="32"/>
          <w:szCs w:val="32"/>
        </w:rPr>
      </w:pPr>
      <w:r>
        <w:rPr>
          <w:rStyle w:val="Heading2Char"/>
          <w:b/>
          <w:bCs/>
          <w:sz w:val="32"/>
          <w:szCs w:val="32"/>
        </w:rPr>
        <w:lastRenderedPageBreak/>
        <w:t>Los cursos de los Grados 11 y 12</w:t>
      </w:r>
    </w:p>
    <w:p w14:paraId="0F167E75" w14:textId="77777777" w:rsidR="00A6602E" w:rsidRPr="00A455A2" w:rsidRDefault="00A6602E" w:rsidP="00A6602E">
      <w:pPr>
        <w:widowControl w:val="0"/>
        <w:autoSpaceDE w:val="0"/>
        <w:autoSpaceDN w:val="0"/>
        <w:rPr>
          <w:rFonts w:eastAsia="Arial"/>
          <w:b/>
          <w:color w:val="592C82"/>
          <w:sz w:val="26"/>
          <w:szCs w:val="22"/>
        </w:rPr>
      </w:pPr>
      <w:r>
        <w:rPr>
          <w:rFonts w:eastAsia="Arial"/>
          <w:szCs w:val="22"/>
        </w:rPr>
        <w:t>En los Grados 11 y 12, los estudiantes pueden elegir de entre una variedad de cursos y programas de distintos tipos, incluidos cursos ATAR, generales, preuniversitarios, preliminares, programas avalados y cualificaciones VET, los cuales pueden contribuir a la obtención del WACE.</w:t>
      </w:r>
    </w:p>
    <w:p w14:paraId="03E8F302" w14:textId="77777777" w:rsidR="006C1619" w:rsidRDefault="006C1619"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spacing w:before="1"/>
        <w:rPr>
          <w:b/>
          <w:bCs/>
        </w:rPr>
      </w:pPr>
      <w:r>
        <w:rPr>
          <w:rStyle w:val="Heading2Char"/>
          <w:bCs/>
        </w:rPr>
        <w:t>ATAR</w:t>
      </w:r>
      <w:r>
        <w:t xml:space="preserve"> </w:t>
      </w:r>
    </w:p>
    <w:p w14:paraId="3E7D08F2" w14:textId="77777777" w:rsidR="00EF6D86" w:rsidRPr="00A455A2" w:rsidRDefault="00EF6D86" w:rsidP="00EF6D86">
      <w:pPr>
        <w:widowControl w:val="0"/>
        <w:autoSpaceDE w:val="0"/>
        <w:autoSpaceDN w:val="0"/>
        <w:spacing w:before="1"/>
        <w:rPr>
          <w:b/>
          <w:bCs/>
        </w:rPr>
      </w:pPr>
      <w:r>
        <w:rPr>
          <w:b/>
          <w:bCs/>
        </w:rPr>
        <w:t>Los cursos ATAR (Índice para la Admisión a la Educación Superior de Australia):</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spacing w:before="1"/>
        <w:ind w:left="426" w:hanging="384"/>
      </w:pPr>
      <w:r>
        <w:t>Están diseñados para estudiantes que tienen la intención de ir a la universidad, y es por ello que tienen que presentar un examen de manera externa al final del Grado 12.</w:t>
      </w:r>
    </w:p>
    <w:p w14:paraId="1BB921EE" w14:textId="77777777" w:rsidR="00EF6D86" w:rsidRPr="00762C0C" w:rsidRDefault="00EF6D86" w:rsidP="00EF6D86">
      <w:pPr>
        <w:widowControl w:val="0"/>
        <w:autoSpaceDE w:val="0"/>
        <w:autoSpaceDN w:val="0"/>
        <w:spacing w:before="1"/>
      </w:pPr>
    </w:p>
    <w:p w14:paraId="28575698" w14:textId="77777777" w:rsidR="00EF6D86" w:rsidRDefault="00EF6D86" w:rsidP="00EF6D86">
      <w:pPr>
        <w:widowControl w:val="0"/>
        <w:autoSpaceDE w:val="0"/>
        <w:autoSpaceDN w:val="0"/>
        <w:spacing w:before="1"/>
        <w:rPr>
          <w:b/>
          <w:bCs/>
        </w:rPr>
      </w:pPr>
      <w:r>
        <w:rPr>
          <w:rStyle w:val="Heading2Char"/>
          <w:bCs/>
        </w:rPr>
        <w:t>Generales</w:t>
      </w:r>
      <w:r>
        <w:t xml:space="preserve"> </w:t>
      </w:r>
    </w:p>
    <w:p w14:paraId="39A1C25C" w14:textId="77777777" w:rsidR="00EF6D86" w:rsidRPr="00A455A2" w:rsidRDefault="00EF6D86" w:rsidP="00EF6D86">
      <w:pPr>
        <w:widowControl w:val="0"/>
        <w:autoSpaceDE w:val="0"/>
        <w:autoSpaceDN w:val="0"/>
        <w:spacing w:before="1"/>
        <w:rPr>
          <w:b/>
          <w:bCs/>
        </w:rPr>
      </w:pPr>
      <w:r>
        <w:rPr>
          <w:b/>
          <w:bCs/>
        </w:rPr>
        <w:t>Los cursos generales:</w:t>
      </w:r>
    </w:p>
    <w:p w14:paraId="0DAA25A8" w14:textId="77777777" w:rsidR="00EF6D86" w:rsidRDefault="00EF6D86" w:rsidP="00EF6D86">
      <w:pPr>
        <w:pStyle w:val="ListParagraph"/>
        <w:numPr>
          <w:ilvl w:val="0"/>
          <w:numId w:val="24"/>
        </w:numPr>
        <w:tabs>
          <w:tab w:val="clear" w:pos="340"/>
          <w:tab w:val="clear" w:pos="680"/>
        </w:tabs>
        <w:ind w:left="426" w:hanging="384"/>
      </w:pPr>
      <w:r>
        <w:t>Están dirigidos principalmente a estudiantes que desean continuar con formación vocacional, o bien acceder a al mercado laboral al terminar la escuela. Los estudiantes pueden usar ciertos cursos generales como parte de una vía de admisión alternativa o como preparación para algunos cursos universitarios.</w:t>
      </w:r>
    </w:p>
    <w:p w14:paraId="53735687" w14:textId="77777777" w:rsidR="00EF6D86" w:rsidRPr="00762C0C" w:rsidRDefault="00EF6D86" w:rsidP="00EF6D86">
      <w:pPr>
        <w:pStyle w:val="ListParagraph"/>
        <w:numPr>
          <w:ilvl w:val="0"/>
          <w:numId w:val="24"/>
        </w:numPr>
        <w:tabs>
          <w:tab w:val="clear" w:pos="340"/>
          <w:tab w:val="clear" w:pos="680"/>
        </w:tabs>
        <w:ind w:left="426" w:hanging="384"/>
      </w:pPr>
      <w:r>
        <w:t xml:space="preserve">No requieren hacer una prueba. Sin embargo, todos los estudiantes del Grado 12 deberán completar una examinación que corresponde a un 15 %, lo que se conoce como tareas de evaluación establecidas externamente (EST), cuyo objetivo es garantizar que todos los profesores estén calificando de manera justa en todo el estado.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spacing w:before="1"/>
        <w:rPr>
          <w:b/>
          <w:bCs/>
        </w:rPr>
      </w:pPr>
      <w:r>
        <w:rPr>
          <w:rStyle w:val="Heading2Char"/>
          <w:bCs/>
        </w:rPr>
        <w:t>Cursos de preparación para la universidad</w:t>
      </w:r>
      <w:r>
        <w:t xml:space="preserve"> </w:t>
      </w:r>
    </w:p>
    <w:p w14:paraId="323A60BA" w14:textId="77777777" w:rsidR="00EF6D86" w:rsidRPr="00A455A2" w:rsidRDefault="00EF6D86" w:rsidP="00EF6D86">
      <w:pPr>
        <w:widowControl w:val="0"/>
        <w:autoSpaceDE w:val="0"/>
        <w:autoSpaceDN w:val="0"/>
        <w:spacing w:before="1"/>
        <w:rPr>
          <w:b/>
          <w:bCs/>
        </w:rPr>
      </w:pPr>
      <w:r>
        <w:rPr>
          <w:b/>
          <w:bCs/>
        </w:rPr>
        <w:t>Los cursos de preparación para la universidad:</w:t>
      </w:r>
    </w:p>
    <w:p w14:paraId="049D858F" w14:textId="77777777" w:rsidR="00EF6D86" w:rsidRPr="00762C0C" w:rsidRDefault="00EF6D86" w:rsidP="00EF6D86">
      <w:pPr>
        <w:pStyle w:val="ListParagraph"/>
        <w:numPr>
          <w:ilvl w:val="0"/>
          <w:numId w:val="24"/>
        </w:numPr>
        <w:tabs>
          <w:tab w:val="clear" w:pos="340"/>
          <w:tab w:val="clear" w:pos="680"/>
        </w:tabs>
        <w:ind w:left="426" w:hanging="384"/>
      </w:pPr>
      <w:r>
        <w:t>Están diseñados para apoyar a aquellos estudiantes que no han demostrado contar con los estándares mínimos de alfabetización o habilidades matemáticas antes de terminar el Grado 11, por lo cual es probable que necesiten apoyo significativo para alcanzar el nivel esperado antes de terminar el Grado 12.</w:t>
      </w:r>
    </w:p>
    <w:p w14:paraId="2A196517" w14:textId="7DB465B0" w:rsidR="00EF6D86" w:rsidRPr="00762C0C" w:rsidRDefault="00EF6D86" w:rsidP="00EF6D86">
      <w:pPr>
        <w:pStyle w:val="ListParagraph"/>
        <w:numPr>
          <w:ilvl w:val="0"/>
          <w:numId w:val="24"/>
        </w:numPr>
        <w:tabs>
          <w:tab w:val="clear" w:pos="340"/>
          <w:tab w:val="clear" w:pos="680"/>
        </w:tabs>
        <w:ind w:left="426" w:hanging="384"/>
      </w:pPr>
      <w:r>
        <w:t xml:space="preserve">No requieren hacer una prueba. Sin embargo, todos los estudiantes del Grado 12 deberán completar una examinación, a la cual se conoce como tareas de evaluación establecidas externamente (EST), cuyo objetivo es garantizar que todos los profesores estén calificando de manera justa en todo el estado.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spacing w:before="1"/>
        <w:rPr>
          <w:b/>
          <w:bCs/>
        </w:rPr>
      </w:pPr>
      <w:r>
        <w:rPr>
          <w:rStyle w:val="Heading2Char"/>
          <w:bCs/>
        </w:rPr>
        <w:t>Cursos preliminares</w:t>
      </w:r>
      <w:r>
        <w:t xml:space="preserve"> </w:t>
      </w:r>
    </w:p>
    <w:p w14:paraId="2AD8DBA3" w14:textId="77777777" w:rsidR="00EF6D86" w:rsidRPr="00A455A2" w:rsidRDefault="00EF6D86" w:rsidP="00EF6D86">
      <w:pPr>
        <w:widowControl w:val="0"/>
        <w:autoSpaceDE w:val="0"/>
        <w:autoSpaceDN w:val="0"/>
        <w:spacing w:before="1"/>
        <w:rPr>
          <w:b/>
          <w:bCs/>
        </w:rPr>
      </w:pPr>
      <w:r>
        <w:rPr>
          <w:b/>
          <w:bCs/>
        </w:rPr>
        <w:t>Los cursos preliminares:</w:t>
      </w:r>
    </w:p>
    <w:p w14:paraId="62F57960" w14:textId="15B17B95" w:rsidR="00980AF8" w:rsidRDefault="00EF6D86" w:rsidP="00EF6D86">
      <w:pPr>
        <w:pStyle w:val="ListParagraph"/>
        <w:numPr>
          <w:ilvl w:val="0"/>
          <w:numId w:val="24"/>
        </w:numPr>
        <w:tabs>
          <w:tab w:val="clear" w:pos="340"/>
          <w:tab w:val="clear" w:pos="680"/>
        </w:tabs>
        <w:ind w:left="426" w:hanging="384"/>
      </w:pPr>
      <w:r>
        <w:t>Están diseñados para apoyar a aquellos estudiantes a quienes se les han identificado dificultades de aprendizaje o una discapacidad intelectual, lo que les impide pasar directamente de la escuela a la formación, y que además:</w:t>
      </w:r>
    </w:p>
    <w:p w14:paraId="31346582" w14:textId="77777777" w:rsidR="00EF6D86" w:rsidRPr="00762C0C" w:rsidRDefault="00EF6D86" w:rsidP="00EF6D86">
      <w:pPr>
        <w:numPr>
          <w:ilvl w:val="0"/>
          <w:numId w:val="25"/>
        </w:numPr>
      </w:pPr>
      <w:r>
        <w:t>no pueden acceder a los contenidos de los cursos ATAR, generales o de preparación para la universidad sin ajustes o disposiciones de apoyo para la discapacidad;</w:t>
      </w:r>
    </w:p>
    <w:p w14:paraId="6E03CD23" w14:textId="77777777" w:rsidR="00EF6D86" w:rsidRPr="00762C0C" w:rsidRDefault="00EF6D86" w:rsidP="00EF6D86">
      <w:pPr>
        <w:numPr>
          <w:ilvl w:val="0"/>
          <w:numId w:val="25"/>
        </w:numPr>
      </w:pPr>
      <w:r>
        <w:t>requieren planes de educación independientes o con modificaciones;</w:t>
      </w:r>
    </w:p>
    <w:p w14:paraId="22E1BA51" w14:textId="77777777" w:rsidR="00EF6D86" w:rsidRPr="00762C0C" w:rsidRDefault="00EF6D86" w:rsidP="00EF6D86">
      <w:pPr>
        <w:numPr>
          <w:ilvl w:val="0"/>
          <w:numId w:val="25"/>
        </w:numPr>
      </w:pPr>
      <w:r>
        <w:t xml:space="preserve">han sido identificados como estudiantes que presentan una discapacidad en conformidad con la </w:t>
      </w:r>
      <w:r>
        <w:rPr>
          <w:i/>
          <w:iCs/>
        </w:rPr>
        <w:t>Ley de discriminación de la discapacidad de 1992</w:t>
      </w:r>
      <w:r>
        <w:t xml:space="preserve"> y cumplen con los criterios establecidos anteriormente.</w:t>
      </w:r>
    </w:p>
    <w:p w14:paraId="48B57FFB" w14:textId="77777777" w:rsidR="00EF6D86" w:rsidRPr="00C908B8" w:rsidRDefault="00EF6D86" w:rsidP="00EF6D86">
      <w:pPr>
        <w:pStyle w:val="Heading2"/>
      </w:pPr>
      <w:r>
        <w:rPr>
          <w:bCs/>
        </w:rPr>
        <w:t>Programas Avalados</w:t>
      </w:r>
    </w:p>
    <w:p w14:paraId="4EC6DB92" w14:textId="54CECF06" w:rsidR="00EF6D86" w:rsidRPr="0094532B" w:rsidRDefault="00EF6D86" w:rsidP="0094532B">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rPr>
        <w:t>Ofrecen aprendizaje a través de actividades que no están cubiertas por cursos para el WACE.</w:t>
      </w:r>
    </w:p>
    <w:p w14:paraId="7F5CED28" w14:textId="77777777" w:rsidR="00B31DD4"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rPr>
        <w:t xml:space="preserve">Se pueden impartir como parte del currículo escolar o como actividades extracurriculares y los estudiantes pueden usarlos para contribuir hacia la obtención del WACE. </w:t>
      </w:r>
    </w:p>
    <w:p w14:paraId="3DE23EA4" w14:textId="061D967F" w:rsidR="00EF6D86"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rPr>
        <w:t xml:space="preserve">Ejemplos incluyen servicio comunitario, los cadetes y el aprendizaje en el trabajo. </w:t>
      </w:r>
    </w:p>
    <w:p w14:paraId="570C7694" w14:textId="77777777" w:rsidR="00EF6D86" w:rsidRPr="00C908B8" w:rsidRDefault="00EF6D86" w:rsidP="00EF6D86">
      <w:pPr>
        <w:pStyle w:val="Heading2"/>
        <w:rPr>
          <w:color w:val="000000"/>
          <w:shd w:val="clear" w:color="auto" w:fill="FFFFFF"/>
        </w:rPr>
      </w:pPr>
      <w:r>
        <w:rPr>
          <w:bCs/>
        </w:rPr>
        <w:lastRenderedPageBreak/>
        <w:t>Cualificaciones VET</w:t>
      </w:r>
    </w:p>
    <w:p w14:paraId="142DF50B" w14:textId="41157F7F" w:rsidR="00EF6D86" w:rsidRPr="00A455A2" w:rsidRDefault="00EF6D86" w:rsidP="00EF6D86">
      <w:pPr>
        <w:pStyle w:val="ListParagraph"/>
        <w:numPr>
          <w:ilvl w:val="0"/>
          <w:numId w:val="24"/>
        </w:numPr>
        <w:tabs>
          <w:tab w:val="clear" w:pos="340"/>
          <w:tab w:val="clear" w:pos="680"/>
        </w:tabs>
        <w:ind w:left="426" w:hanging="384"/>
        <w:rPr>
          <w:rFonts w:eastAsia="Arial"/>
          <w:szCs w:val="22"/>
        </w:rPr>
      </w:pPr>
      <w:r>
        <w:t xml:space="preserve">Permiten a los estudiantes acceder a educación y formación vocacional (VET, por sus siglas en inglés) a fin de desarrollar habilidades y conocimientos para el sitio de trabajo. </w:t>
      </w:r>
    </w:p>
    <w:p w14:paraId="22AF780D" w14:textId="49934C21" w:rsidR="00EF6D86" w:rsidRPr="000F0FBE" w:rsidRDefault="00EF6D86" w:rsidP="000F0FBE">
      <w:pPr>
        <w:pStyle w:val="ListParagraph"/>
        <w:numPr>
          <w:ilvl w:val="0"/>
          <w:numId w:val="24"/>
        </w:numPr>
        <w:tabs>
          <w:tab w:val="clear" w:pos="340"/>
          <w:tab w:val="clear" w:pos="680"/>
        </w:tabs>
        <w:ind w:left="426" w:hanging="384"/>
        <w:rPr>
          <w:rFonts w:eastAsia="Arial"/>
          <w:szCs w:val="22"/>
        </w:rPr>
      </w:pPr>
      <w:r>
        <w:t>Es posible que las cualificaciones VET para contribuir hacia la obtención del WACE como unidades equivalentes.</w:t>
      </w:r>
    </w:p>
    <w:p w14:paraId="57614DC7" w14:textId="77777777" w:rsidR="000F0FBE" w:rsidRDefault="000F0FBE" w:rsidP="000F0FBE">
      <w:pPr>
        <w:rPr>
          <w:b/>
          <w:bCs/>
        </w:rPr>
      </w:pPr>
    </w:p>
    <w:p w14:paraId="0B49BD22" w14:textId="77777777" w:rsidR="00EF6D86" w:rsidRPr="00895588" w:rsidRDefault="00EF6D86" w:rsidP="00EF6D86">
      <w:pPr>
        <w:pStyle w:val="Heading1"/>
        <w:rPr>
          <w:color w:val="auto"/>
        </w:rPr>
      </w:pPr>
      <w:r>
        <w:rPr>
          <w:bCs/>
          <w:color w:val="auto"/>
        </w:rPr>
        <w:t>Más información</w:t>
      </w:r>
    </w:p>
    <w:p w14:paraId="09EF3FE0" w14:textId="77777777" w:rsidR="00EF6D86" w:rsidRDefault="00EF6D86" w:rsidP="00EF6D86">
      <w:pPr>
        <w:widowControl w:val="0"/>
        <w:autoSpaceDE w:val="0"/>
        <w:autoSpaceDN w:val="0"/>
        <w:ind w:right="166"/>
        <w:rPr>
          <w:rFonts w:eastAsia="Arial"/>
          <w:szCs w:val="22"/>
        </w:rPr>
      </w:pPr>
      <w:r>
        <w:rPr>
          <w:rFonts w:eastAsia="Arial"/>
          <w:szCs w:val="22"/>
        </w:rPr>
        <w:t xml:space="preserve">La Autoridad del Currículo y los Estándares Escolares (la Autoridad) es la entidad responsable por el currículo escolar, las evaluaciones y los estándares de todas las escuelas de Australia Occidental, desde la educación preescolar hasta el Grado 12. </w:t>
      </w:r>
    </w:p>
    <w:p w14:paraId="45422E7E" w14:textId="77777777" w:rsidR="00EF6D86" w:rsidRDefault="00EF6D86" w:rsidP="00EF6D86">
      <w:pPr>
        <w:widowControl w:val="0"/>
        <w:autoSpaceDE w:val="0"/>
        <w:autoSpaceDN w:val="0"/>
        <w:ind w:right="166"/>
        <w:rPr>
          <w:rFonts w:eastAsia="Arial"/>
          <w:szCs w:val="22"/>
        </w:rPr>
      </w:pPr>
      <w:r>
        <w:rPr>
          <w:rFonts w:eastAsia="Arial"/>
          <w:szCs w:val="22"/>
        </w:rPr>
        <w:t xml:space="preserve">Puede consultar su sitio web en los siguientes enlaces: </w:t>
      </w:r>
    </w:p>
    <w:p w14:paraId="26E96D30" w14:textId="285CDA57" w:rsidR="00EF6D86" w:rsidRPr="00C41292" w:rsidRDefault="00EF6D86" w:rsidP="000556EB">
      <w:pPr>
        <w:pStyle w:val="ListParagraph"/>
        <w:widowControl w:val="0"/>
        <w:numPr>
          <w:ilvl w:val="0"/>
          <w:numId w:val="23"/>
        </w:numPr>
        <w:tabs>
          <w:tab w:val="clear" w:pos="340"/>
          <w:tab w:val="clear" w:pos="680"/>
        </w:tabs>
        <w:autoSpaceDE w:val="0"/>
        <w:autoSpaceDN w:val="0"/>
        <w:ind w:left="392" w:right="-2"/>
        <w:rPr>
          <w:rFonts w:eastAsia="Arial"/>
          <w:color w:val="592C82"/>
          <w:szCs w:val="22"/>
        </w:rPr>
      </w:pPr>
      <w:hyperlink r:id="rId13" w:history="1">
        <w:r>
          <w:rPr>
            <w:rStyle w:val="Hyperlink"/>
            <w:rFonts w:eastAsia="Arial"/>
            <w:color w:val="592C82"/>
            <w:szCs w:val="22"/>
          </w:rPr>
          <w:t>https://parent.scsa.wa.edu.au/what-will-my-child-learn</w:t>
        </w:r>
      </w:hyperlink>
      <w:r>
        <w:rPr>
          <w:rFonts w:eastAsia="Arial"/>
          <w:color w:val="592C82"/>
          <w:szCs w:val="22"/>
        </w:rPr>
        <w:t xml:space="preserve"> </w:t>
      </w:r>
    </w:p>
    <w:p w14:paraId="38D02603" w14:textId="5986C2F2" w:rsidR="00895588" w:rsidRPr="00C41292" w:rsidRDefault="00EF6D86" w:rsidP="00895588">
      <w:pPr>
        <w:pStyle w:val="ListParagraph"/>
        <w:widowControl w:val="0"/>
        <w:numPr>
          <w:ilvl w:val="0"/>
          <w:numId w:val="23"/>
        </w:numPr>
        <w:tabs>
          <w:tab w:val="clear" w:pos="340"/>
          <w:tab w:val="clear" w:pos="680"/>
        </w:tabs>
        <w:autoSpaceDE w:val="0"/>
        <w:autoSpaceDN w:val="0"/>
        <w:ind w:left="392" w:right="-2"/>
        <w:rPr>
          <w:rFonts w:eastAsia="Arial"/>
          <w:color w:val="592C82"/>
          <w:szCs w:val="22"/>
          <w:u w:val="single"/>
        </w:rPr>
      </w:pPr>
      <w:hyperlink r:id="rId14" w:history="1">
        <w:r>
          <w:rPr>
            <w:rFonts w:eastAsia="Arial"/>
            <w:color w:val="592C82"/>
            <w:szCs w:val="22"/>
            <w:u w:val="single"/>
          </w:rPr>
          <w:t>https://senior-secondary.scsa.wa.edu.au/certification/wace</w:t>
        </w:r>
      </w:hyperlink>
      <w:r>
        <w:rPr>
          <w:rFonts w:eastAsia="Arial"/>
          <w:color w:val="592C82"/>
          <w:szCs w:val="22"/>
          <w:u w:val="single"/>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91F4" w14:textId="77777777" w:rsidR="003B489D" w:rsidRPr="0034331E" w:rsidRDefault="003B489D" w:rsidP="00127DAD">
      <w:r>
        <w:separator/>
      </w:r>
    </w:p>
  </w:endnote>
  <w:endnote w:type="continuationSeparator" w:id="0">
    <w:p w14:paraId="2052CB02" w14:textId="77777777" w:rsidR="003B489D" w:rsidRPr="0034331E" w:rsidRDefault="003B489D"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rPr>
          <w:t>D26/0249557</w:t>
        </w:r>
      </w:p>
      <w:p w14:paraId="45B84C8E" w14:textId="13190473" w:rsidR="00C2534C" w:rsidRPr="009C0A89" w:rsidRDefault="009C0A89" w:rsidP="009C0A89">
        <w:pPr>
          <w:pStyle w:val="Footer"/>
          <w:ind w:right="510"/>
          <w:jc w:val="right"/>
          <w:rPr>
            <w:sz w:val="18"/>
            <w:szCs w:val="14"/>
          </w:rPr>
        </w:pPr>
        <w:r>
          <w:rPr>
            <w:sz w:val="18"/>
            <w:szCs w:val="14"/>
          </w:rPr>
          <w:t>March 2026</w:t>
        </w:r>
      </w:p>
      <w:p w14:paraId="6195C32D" w14:textId="2510D5FF" w:rsidR="00707FE1" w:rsidRDefault="00707FE1" w:rsidP="00C253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01A" w14:textId="40E5CA08" w:rsidR="009B37D6" w:rsidRDefault="009B37D6" w:rsidP="009B37D6">
    <w:pPr>
      <w:pStyle w:val="Footer"/>
      <w:ind w:right="510"/>
      <w:jc w:val="right"/>
      <w:rPr>
        <w:sz w:val="18"/>
        <w:szCs w:val="14"/>
      </w:rPr>
    </w:pPr>
    <w:r>
      <w:rPr>
        <w:sz w:val="18"/>
        <w:szCs w:val="14"/>
      </w:rPr>
      <w:t>D26/0249557</w:t>
    </w:r>
  </w:p>
  <w:p w14:paraId="496053F8" w14:textId="77777777" w:rsidR="009B37D6" w:rsidRPr="009C0A89" w:rsidRDefault="009B37D6" w:rsidP="009B37D6">
    <w:pPr>
      <w:pStyle w:val="Footer"/>
      <w:ind w:right="510"/>
      <w:jc w:val="right"/>
      <w:rPr>
        <w:sz w:val="18"/>
        <w:szCs w:val="14"/>
      </w:rPr>
    </w:pPr>
    <w:r>
      <w:rPr>
        <w:sz w:val="18"/>
        <w:szCs w:val="14"/>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A7E2" w14:textId="77777777" w:rsidR="003B489D" w:rsidRPr="0034331E" w:rsidRDefault="003B489D" w:rsidP="00127DAD">
      <w:r>
        <w:separator/>
      </w:r>
    </w:p>
  </w:footnote>
  <w:footnote w:type="continuationSeparator" w:id="0">
    <w:p w14:paraId="72FABE49" w14:textId="77777777" w:rsidR="003B489D" w:rsidRPr="0034331E" w:rsidRDefault="003B489D"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1FF7" w14:textId="13FA368E" w:rsidR="00957C5C" w:rsidRPr="0034331E" w:rsidRDefault="00957C5C">
    <w:pPr>
      <w:pStyle w:val="Header"/>
    </w:pPr>
    <w:r>
      <w:rPr>
        <w:noProof/>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9D82" w14:textId="01A89D50" w:rsidR="00947583" w:rsidRDefault="00D67C25">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732BEDEE" wp14:editId="025D3B2D">
              <wp:simplePos x="0" y="0"/>
              <wp:positionH relativeFrom="column">
                <wp:posOffset>5948624</wp:posOffset>
              </wp:positionH>
              <wp:positionV relativeFrom="paragraph">
                <wp:posOffset>-402688</wp:posOffset>
              </wp:positionV>
              <wp:extent cx="63500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7753B92C" w14:textId="77777777" w:rsidR="00D67C25" w:rsidRDefault="00D67C25" w:rsidP="00D67C25">
                          <w:pPr>
                            <w:rPr>
                              <w:color w:val="767171" w:themeColor="background2" w:themeShade="80"/>
                              <w:sz w:val="16"/>
                              <w:szCs w:val="14"/>
                            </w:rPr>
                          </w:pPr>
                          <w:r>
                            <w:rPr>
                              <w:color w:val="767171" w:themeColor="background2" w:themeShade="80"/>
                              <w:sz w:val="16"/>
                              <w:szCs w:val="14"/>
                            </w:rPr>
                            <w:t>Spanish</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BEDEE" id="_x0000_t202" coordsize="21600,21600" o:spt="202" path="m,l,21600r21600,l21600,xe">
              <v:stroke joinstyle="miter"/>
              <v:path gradientshapeok="t" o:connecttype="rect"/>
            </v:shapetype>
            <v:shape id="Text Box 1" o:spid="_x0000_s1026" type="#_x0000_t202" style="position:absolute;margin-left:468.4pt;margin-top:-31.7pt;width:50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" filled="f" stroked="f">
              <v:textbox>
                <w:txbxContent>
                  <w:p w14:paraId="7753B92C" w14:textId="77777777" w:rsidR="00D67C25" w:rsidRDefault="00D67C25" w:rsidP="00D67C25">
                    <w:pPr>
                      <w:rPr>
                        <w:color w:val="767171" w:themeColor="background2" w:themeShade="80"/>
                        <w:sz w:val="16"/>
                        <w:szCs w:val="14"/>
                      </w:rPr>
                    </w:pPr>
                    <w:r>
                      <w:rPr>
                        <w:color w:val="767171" w:themeColor="background2" w:themeShade="80"/>
                        <w:sz w:val="16"/>
                        <w:szCs w:val="14"/>
                      </w:rPr>
                      <w:t>Spanish</w:t>
                    </w:r>
                  </w:p>
                </w:txbxContent>
              </v:textbox>
              <w10:wrap type="square"/>
            </v:shape>
          </w:pict>
        </mc:Fallback>
      </mc:AlternateContent>
    </w:r>
    <w:r w:rsidR="006C1619">
      <w:rPr>
        <w:noProof/>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2443A"/>
    <w:rsid w:val="00237DA1"/>
    <w:rsid w:val="00242C19"/>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4E97"/>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489D"/>
    <w:rsid w:val="003B56AB"/>
    <w:rsid w:val="003C3383"/>
    <w:rsid w:val="003C7215"/>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2019B"/>
    <w:rsid w:val="00824499"/>
    <w:rsid w:val="008250E2"/>
    <w:rsid w:val="008331B8"/>
    <w:rsid w:val="00840EFA"/>
    <w:rsid w:val="00843E30"/>
    <w:rsid w:val="00845C58"/>
    <w:rsid w:val="008528A6"/>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B37D6"/>
    <w:rsid w:val="009B71DE"/>
    <w:rsid w:val="009C0A89"/>
    <w:rsid w:val="009C49E3"/>
    <w:rsid w:val="009D72F4"/>
    <w:rsid w:val="009E1A3A"/>
    <w:rsid w:val="009E32FD"/>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74A9"/>
    <w:rsid w:val="00B461B9"/>
    <w:rsid w:val="00B54143"/>
    <w:rsid w:val="00B544BA"/>
    <w:rsid w:val="00B56A6C"/>
    <w:rsid w:val="00B6170F"/>
    <w:rsid w:val="00B6232D"/>
    <w:rsid w:val="00B669D2"/>
    <w:rsid w:val="00B70E85"/>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7A2C"/>
    <w:rsid w:val="00C800E3"/>
    <w:rsid w:val="00C84A5C"/>
    <w:rsid w:val="00C84C21"/>
    <w:rsid w:val="00C96238"/>
    <w:rsid w:val="00CA0BE1"/>
    <w:rsid w:val="00CB081C"/>
    <w:rsid w:val="00CB46BF"/>
    <w:rsid w:val="00CB54C3"/>
    <w:rsid w:val="00CC69FE"/>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67C25"/>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6B1AAD33-525F-4665-85DD-EE0B700BE6B3}"/>
</file>

<file path=customXml/itemProps5.xml><?xml version="1.0" encoding="utf-8"?>
<ds:datastoreItem xmlns:ds="http://schemas.openxmlformats.org/officeDocument/2006/customXml" ds:itemID="{2B1C5E1C-C0DB-4147-9205-FD3AC3B0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942</Words>
  <Characters>5375</Characters>
  <Application>Microsoft Office Word</Application>
  <DocSecurity>0</DocSecurity>
  <Lines>44</Lines>
  <Paragraphs>12</Paragraphs>
  <ScaleCrop>false</ScaleCrop>
  <Company>Department of Education Western Australia</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77</cp:revision>
  <cp:lastPrinted>2023-02-22T17:18:00Z</cp:lastPrinted>
  <dcterms:created xsi:type="dcterms:W3CDTF">2025-11-03T23:26:00Z</dcterms:created>
  <dcterms:modified xsi:type="dcterms:W3CDTF">2026-04-14T02:52:00Z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