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Pr="00F41EB5" w:rsidRDefault="00F424CC" w:rsidP="004C3145">
      <w:pPr>
        <w:pStyle w:val="Title"/>
        <w:rPr>
          <w:sz w:val="36"/>
          <w:szCs w:val="36"/>
        </w:rPr>
      </w:pPr>
      <w:bookmarkStart w:id="0" w:name="_Hlk103166844"/>
      <w:bookmarkStart w:id="1" w:name="_Toc84334888"/>
      <w:r w:rsidRPr="00F41EB5">
        <w:rPr>
          <w:bCs/>
          <w:sz w:val="36"/>
          <w:szCs w:val="36"/>
          <w:lang w:val="ta"/>
        </w:rPr>
        <w:t>பல்கலைக்கழகத்திற்கான வழித்தடங்கள்</w:t>
      </w:r>
    </w:p>
    <w:p w14:paraId="7B23013F" w14:textId="155A102B" w:rsidR="00F424CC" w:rsidRPr="00F41EB5" w:rsidRDefault="00F424CC" w:rsidP="004C3145">
      <w:pPr>
        <w:pStyle w:val="Title"/>
        <w:rPr>
          <w:color w:val="auto"/>
          <w:sz w:val="28"/>
          <w:szCs w:val="28"/>
        </w:rPr>
      </w:pPr>
      <w:r w:rsidRPr="00F41EB5">
        <w:rPr>
          <w:bCs/>
          <w:color w:val="auto"/>
          <w:sz w:val="28"/>
          <w:szCs w:val="28"/>
          <w:lang w:val="ta"/>
        </w:rPr>
        <w:t>பெற்றோர் மற்றும் பராமரிப்பாளர்களுக்கான தகவல்</w:t>
      </w:r>
    </w:p>
    <w:bookmarkEnd w:id="0"/>
    <w:bookmarkEnd w:id="1"/>
    <w:p w14:paraId="78A52AA3" w14:textId="77777777" w:rsidR="00F424CC" w:rsidRDefault="00F424CC" w:rsidP="004C3145">
      <w:pPr>
        <w:pStyle w:val="BodyText"/>
        <w:spacing w:before="209"/>
      </w:pPr>
      <w:r>
        <w:rPr>
          <w:lang w:val="ta"/>
        </w:rPr>
        <w:t>மூத்த பள்ளி மாணவர்கள் பல்கலைக்கழகம், பயிற்சி மற்றும் வேலைவாய்ப்புக்கான பரந்த அளவிலான பாதைகளில் இருந்து தேர்வு செய்யலாம். மாணவர்களின் ஆர்வங்கள், திறன்கள், தேவைகள் மற்றும் அபிலாஷைகளைப் பூர்த்தி செய்யும் பாதைகளைத் தேர்ந்தெடுக்கலாம்.</w:t>
      </w:r>
    </w:p>
    <w:p w14:paraId="7361B4A9" w14:textId="77777777" w:rsidR="00F424CC" w:rsidRDefault="00F424CC" w:rsidP="004C3145">
      <w:pPr>
        <w:pStyle w:val="BodyText"/>
        <w:spacing w:before="1"/>
        <w:rPr>
          <w:sz w:val="19"/>
        </w:rPr>
      </w:pPr>
    </w:p>
    <w:p w14:paraId="065CA492" w14:textId="77777777" w:rsidR="00F424CC" w:rsidRPr="00F41EB5" w:rsidRDefault="00F424CC" w:rsidP="004C3145">
      <w:pPr>
        <w:rPr>
          <w:b/>
          <w:bCs/>
          <w:color w:val="592C82"/>
          <w:sz w:val="24"/>
          <w:szCs w:val="18"/>
        </w:rPr>
      </w:pPr>
      <w:r w:rsidRPr="00F41EB5">
        <w:rPr>
          <w:b/>
          <w:bCs/>
          <w:color w:val="592C82"/>
          <w:sz w:val="24"/>
          <w:szCs w:val="18"/>
          <w:lang w:val="ta"/>
        </w:rPr>
        <w:t>பல்கலைக்கழகத்திற்குச் செல்வதற்கான வழித்தடங்கள் யாவை?</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ta"/>
        </w:rPr>
        <w:t>ATAR</w:t>
      </w:r>
    </w:p>
    <w:p w14:paraId="7BA0A285" w14:textId="77F6E707" w:rsidR="00A52B71" w:rsidRDefault="00F424CC" w:rsidP="004529D5">
      <w:pPr>
        <w:pStyle w:val="BodyText"/>
      </w:pPr>
      <w:r>
        <w:rPr>
          <w:lang w:val="ta"/>
        </w:rPr>
        <w:t xml:space="preserve">ஒரு மாணவரின் ஆஸ்திரேலிய மூன்றாம் நிலை சேர்க்கை தரவரிசை (ATAR) அவர்களின் பாடநெறி மற்றும் தேர்வு முடிவுகளைப் பயன்படுத்தி கணக்கிடப்படுகிறது. குறைந்தபட்சம் 4 ATAR படிப்புகள் தேவை. பெரும்பாலான மாணவர்களுக்கு, ATAR படிப்புகளின் கல்வித் தன்மை மற்றும் சவால் பல்கலைக்கழகத்தில் வெற்றிக்கான சிறந்த தயாரிப்பை வழங்குகிறது. </w:t>
      </w:r>
    </w:p>
    <w:p w14:paraId="17F32ACD" w14:textId="77777777" w:rsidR="00A52B71" w:rsidRDefault="00A52B71" w:rsidP="004529D5">
      <w:pPr>
        <w:pStyle w:val="BodyText"/>
      </w:pPr>
    </w:p>
    <w:p w14:paraId="036899A0" w14:textId="2AF1C3D9" w:rsidR="004529D5" w:rsidRDefault="004529D5" w:rsidP="004529D5">
      <w:pPr>
        <w:pStyle w:val="BodyText"/>
      </w:pPr>
      <w:r>
        <w:rPr>
          <w:lang w:val="ta"/>
        </w:rPr>
        <w:t>12 ஆம் வகுப்பு மாணவர்களுக்கு அவர்களின் பள்ளிகள் மூலம் பல்கலைக்கழகங்களுக்கு விண்ணப்பிப்பது மற்றும் இளங்கலை படிப்புகளில் சேருவது பற்றிய தகவல்கள் வழங்கப்படுகின்றன.</w:t>
      </w:r>
    </w:p>
    <w:p w14:paraId="0D162FFB" w14:textId="77777777" w:rsidR="00F424CC" w:rsidRDefault="00F424CC" w:rsidP="004C3145">
      <w:pPr>
        <w:pStyle w:val="BodyText"/>
      </w:pPr>
    </w:p>
    <w:p w14:paraId="273B6216" w14:textId="77777777" w:rsidR="00F424CC" w:rsidRDefault="00F424CC" w:rsidP="004C3145">
      <w:pPr>
        <w:pStyle w:val="BodyText"/>
      </w:pPr>
      <w:r>
        <w:rPr>
          <w:lang w:val="ta"/>
        </w:rPr>
        <w:t>ATAR ஐப் பயன்படுத்தி பள்ளியை விட்டு வெளியேறியவராக பல்கலைக்கழகத்தில் சேர, மாணவர்கள் கண்டிப்பாக:</w:t>
      </w:r>
    </w:p>
    <w:p w14:paraId="2C2EBEC9" w14:textId="3D68334C" w:rsidR="00F424CC" w:rsidRDefault="00F424CC" w:rsidP="00D70709">
      <w:pPr>
        <w:pStyle w:val="BodyText"/>
        <w:numPr>
          <w:ilvl w:val="0"/>
          <w:numId w:val="23"/>
        </w:numPr>
        <w:ind w:left="700"/>
      </w:pPr>
      <w:r>
        <w:rPr>
          <w:lang w:val="ta"/>
        </w:rPr>
        <w:t>மேற்கு ஆஸ்திரேலியக் கல்விச் சான்றிதழ் (WACE)க்கான தேவைகளைப் பூர்த்தி செய்ய வேண்டும்.</w:t>
      </w:r>
    </w:p>
    <w:p w14:paraId="5618A6A3" w14:textId="4B64AF42" w:rsidR="004C4720" w:rsidRPr="00063A80" w:rsidRDefault="00F424CC" w:rsidP="00063A80">
      <w:pPr>
        <w:pStyle w:val="BodyText"/>
        <w:numPr>
          <w:ilvl w:val="0"/>
          <w:numId w:val="23"/>
        </w:numPr>
        <w:ind w:left="700"/>
      </w:pPr>
      <w:r>
        <w:rPr>
          <w:noProof/>
          <w:lang w:val="ta"/>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1EEF" id="Freeform: Shape 4" o:spid="_x0000_s1026"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ta"/>
        </w:rPr>
        <w:t>ஒவ்வொரு பல்கலைக்கழகமும் வரையறுக்கும் ஆங்கில மொழித் திறன் தரத்தை பூர்த்தி செய்ய வேண்டும்</w:t>
      </w:r>
    </w:p>
    <w:p w14:paraId="22C751E3" w14:textId="16C4E76B" w:rsidR="00F424CC" w:rsidRPr="004C4720" w:rsidRDefault="00F424CC" w:rsidP="00D70709">
      <w:pPr>
        <w:pStyle w:val="BodyText"/>
        <w:numPr>
          <w:ilvl w:val="0"/>
          <w:numId w:val="24"/>
        </w:numPr>
        <w:ind w:left="700"/>
      </w:pPr>
      <w:r>
        <w:rPr>
          <w:lang w:val="ta"/>
        </w:rPr>
        <w:t>ஒரு குறிப்பிட்ட பாடநெறியில் சேர போதுமான அளவு ATAR மதிப்பெண்ணைப் பெறுதல்.</w:t>
      </w:r>
    </w:p>
    <w:p w14:paraId="539D46F5" w14:textId="77777777" w:rsidR="00F424CC" w:rsidRDefault="00F424CC" w:rsidP="00D70709">
      <w:pPr>
        <w:pStyle w:val="BodyText"/>
        <w:numPr>
          <w:ilvl w:val="0"/>
          <w:numId w:val="24"/>
        </w:numPr>
        <w:ind w:left="700"/>
      </w:pPr>
      <w:r>
        <w:rPr>
          <w:lang w:val="ta"/>
        </w:rPr>
        <w:t>ஒரு குறிப்பிட்ட பாடநெறியில் நுழைவதற்கான ஏதேனும் முன்நிபந்தனைகள் அல்லது சிறப்புத் தேவைகளைப் பூர்த்தி செய்ய வேண்டும்.</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ta"/>
        </w:rPr>
        <w:t>தேர்வு தரவரிசை சரிசெய்தலுடன் கூடிய 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ta"/>
        </w:rPr>
        <w:t>சில மாணவர்கள் ATAR சரிசெய்தலுக்கு தகுதியுடையவர்கள். சரிசெய்தல்கள் ஒரு மாணவரின் தரவரிசையை அதிகரிப்பதற்குக் காரணம், பின்வருவனவற்றைப் போன்ற காரணிகள் ஆகும்:</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ta"/>
        </w:rPr>
        <w:t>ஒரு குறிப்பிட்ட பகுதியில் வசிப்பது அல்லது பள்ளியில் படிப்பது.</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ta"/>
        </w:rPr>
        <w:t>ஒரு குடும்பத்தில் பல்கலைக்கழகத்தில் சேரும் முதல் நபர்.</w:t>
      </w:r>
    </w:p>
    <w:p w14:paraId="1E052703" w14:textId="3F2BB282" w:rsidR="00037E99" w:rsidRPr="00F41EB5" w:rsidRDefault="006E2FC1" w:rsidP="004A1E57">
      <w:pPr>
        <w:pStyle w:val="BodyText"/>
        <w:spacing w:before="120" w:after="120" w:line="252" w:lineRule="auto"/>
        <w:ind w:right="212"/>
        <w:rPr>
          <w:rFonts w:eastAsiaTheme="minorEastAsia" w:hint="eastAsia"/>
          <w:b/>
          <w:bCs/>
          <w:sz w:val="24"/>
          <w:szCs w:val="24"/>
          <w:lang w:eastAsia="zh-CN"/>
        </w:rPr>
        <w:sectPr w:rsidR="00037E99" w:rsidRPr="00F41EB5"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lang w:val="ta"/>
        </w:rPr>
        <w:t xml:space="preserve">ஒரு மாணவர் வெவ்வேறு பல்கலைக்கழகங்களுக்கு வெவ்வேறு தேர்வு </w:t>
      </w:r>
      <w:r>
        <w:rPr>
          <w:color w:val="000000"/>
          <w:shd w:val="clear" w:color="auto" w:fill="FFFFFF"/>
          <w:lang w:val="ta"/>
        </w:rPr>
        <w:lastRenderedPageBreak/>
        <w:t xml:space="preserve">தரவரிசைகளைக் கொண்டிருக்கலாம். </w:t>
      </w:r>
      <w:r w:rsidRPr="00F51047">
        <w:rPr>
          <w:color w:val="000000"/>
          <w:shd w:val="clear" w:color="auto" w:fill="FFFFFF"/>
          <w:lang w:val="ta"/>
        </w:rPr>
        <w:t xml:space="preserve">மூன்றாம் நிலை நிறுவனங்கள் சேவை மையம் (TISC) ஒவ்வொரு ஆண்டும் சேர்க்கைத் தேவைகள் மற்றும் பாதை விருப்பங்களுடன் ஒரு பல்கலைக்கழக சேர்க்கை சிற்றேட்டைக் கொண்டுள்ளது: </w:t>
      </w:r>
      <w:hyperlink r:id="rId16" w:history="1">
        <w:r w:rsidRPr="00F51047">
          <w:rPr>
            <w:rStyle w:val="Hyperlink"/>
            <w:shd w:val="clear" w:color="auto" w:fill="FFFFFF"/>
            <w:lang w:val="ta"/>
          </w:rPr>
          <w:t>https://tisc.edu.au/static/guide/download.tisc</w:t>
        </w:r>
      </w:hyperlink>
    </w:p>
    <w:p w14:paraId="46B66F2A" w14:textId="77777777" w:rsidR="00037E99" w:rsidRPr="00F41EB5" w:rsidRDefault="00037E99" w:rsidP="00037E99">
      <w:pPr>
        <w:widowControl w:val="0"/>
        <w:autoSpaceDE w:val="0"/>
        <w:autoSpaceDN w:val="0"/>
        <w:spacing w:before="240" w:after="120" w:line="268" w:lineRule="exact"/>
        <w:rPr>
          <w:rFonts w:hint="eastAsia"/>
          <w:b/>
          <w:bCs/>
          <w:sz w:val="24"/>
          <w:szCs w:val="24"/>
          <w:lang w:eastAsia="zh-CN"/>
        </w:rPr>
        <w:sectPr w:rsidR="00037E99" w:rsidRPr="00F41EB5" w:rsidSect="00037E99">
          <w:type w:val="continuous"/>
          <w:pgSz w:w="11906" w:h="16838"/>
          <w:pgMar w:top="709" w:right="1247" w:bottom="709" w:left="1247" w:header="680" w:footer="737" w:gutter="0"/>
          <w:cols w:space="708"/>
          <w:titlePg/>
          <w:docGrid w:linePitch="360"/>
        </w:sectPr>
      </w:pPr>
    </w:p>
    <w:p w14:paraId="23B5DAF1" w14:textId="77777777" w:rsidR="0070116B" w:rsidRPr="00F41EB5" w:rsidRDefault="0070116B" w:rsidP="004C3145">
      <w:pPr>
        <w:pStyle w:val="BodyText"/>
        <w:spacing w:before="5"/>
        <w:rPr>
          <w:rFonts w:eastAsiaTheme="minorEastAsia" w:hint="eastAsia"/>
          <w:b/>
          <w:bCs/>
          <w:lang w:eastAsia="zh-CN"/>
        </w:rPr>
      </w:pPr>
    </w:p>
    <w:p w14:paraId="77FCC099" w14:textId="2375F630" w:rsidR="00291390" w:rsidRPr="00F41EB5" w:rsidRDefault="00291390" w:rsidP="00037E99">
      <w:pPr>
        <w:pStyle w:val="BodyText"/>
        <w:spacing w:before="120" w:after="60" w:line="254" w:lineRule="auto"/>
        <w:ind w:right="212"/>
        <w:rPr>
          <w:b/>
          <w:bCs/>
          <w:sz w:val="24"/>
          <w:szCs w:val="24"/>
        </w:rPr>
      </w:pPr>
      <w:r w:rsidRPr="00F41EB5">
        <w:rPr>
          <w:b/>
          <w:bCs/>
          <w:sz w:val="24"/>
          <w:szCs w:val="24"/>
          <w:lang w:val="ta"/>
        </w:rPr>
        <w:t>பல்கலைக்கழகத்தை ஊக்குவிக்கும் படிப்புகள்</w:t>
      </w:r>
    </w:p>
    <w:p w14:paraId="759740C7" w14:textId="77777777" w:rsidR="00F520DD" w:rsidRDefault="00291390" w:rsidP="004C3145">
      <w:pPr>
        <w:pStyle w:val="BodyText"/>
        <w:spacing w:after="120"/>
      </w:pPr>
      <w:r>
        <w:rPr>
          <w:lang w:val="ta"/>
        </w:rPr>
        <w:t xml:space="preserve">பல்கலைக்கழகம் சார்ந்த படிப்புகள், பல்வேறு இளங்கலை படிப்புகளுக்குத் தகுதி பெற மாணவர்களைத் தயார்படுத்த வடிவமைக்கப்பட்டுள்ளன. இந்தப் படிப்புகள் பல்கலைக்கழக அளவிலான படிப்பில் வெற்றிபெறத் தேவையான திறன்களை வளர்க்கின்றன, அதாவது கல்வி ஆராய்ச்சி மற்றும் எழுத்து, எண் அறிவு மற்றும் விமர்சன சிந்தனைத் திறன்கள். </w:t>
      </w:r>
    </w:p>
    <w:p w14:paraId="29910771" w14:textId="5AA7443E" w:rsidR="00D47A10" w:rsidRDefault="00D537D1" w:rsidP="004C3145">
      <w:pPr>
        <w:pStyle w:val="BodyText"/>
        <w:spacing w:after="120"/>
      </w:pPr>
      <w:r>
        <w:rPr>
          <w:lang w:val="ta"/>
        </w:rPr>
        <w:t xml:space="preserve">ஆஸ்திரேலிய குடிமக்களாக இருக்கும் பள்ளிப் படிப்பை முடித்தவர்களுக்கு செயல்படுத்தும் படிப்புகள் இலவசம், ஆனால் குடிமக்கள் அல்லாதவர்களுக்கு செலவுகள் மற்றும் தகுதி மாறுபடும். </w:t>
      </w:r>
    </w:p>
    <w:tbl>
      <w:tblPr>
        <w:tblStyle w:val="DOETable1"/>
        <w:tblW w:w="9634" w:type="dxa"/>
        <w:tblLook w:val="04A0" w:firstRow="1" w:lastRow="0" w:firstColumn="1" w:lastColumn="0" w:noHBand="0" w:noVBand="1"/>
      </w:tblPr>
      <w:tblGrid>
        <w:gridCol w:w="2417"/>
        <w:gridCol w:w="7217"/>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ta"/>
              </w:rPr>
              <w:t>பல்கலைக்கழகம்</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ta"/>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ta"/>
              </w:rPr>
              <w:t xml:space="preserve">UniReady </w:t>
            </w:r>
          </w:p>
          <w:p w14:paraId="24B5B485" w14:textId="2E5B7D3C" w:rsidR="00DD2F96" w:rsidRDefault="00F51047"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sidR="0017211A">
                <w:rPr>
                  <w:rStyle w:val="Hyperlink"/>
                  <w:lang w:val="ta"/>
                </w:rPr>
                <w:t>https://www.curtin.edu.au/study/applying/pathways/uniready-enabling-program/</w:t>
              </w:r>
            </w:hyperlink>
            <w:r w:rsidR="0017211A">
              <w:rPr>
                <w:lang w:val="ta"/>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ta"/>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ta"/>
              </w:rPr>
              <w:t>UniPrep</w:t>
            </w:r>
          </w:p>
          <w:p w14:paraId="26979742" w14:textId="49A579CA" w:rsidR="0017211A" w:rsidRPr="00FD22D7" w:rsidRDefault="00F51047"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sidR="0017211A">
                <w:rPr>
                  <w:rStyle w:val="Hyperlink"/>
                  <w:lang w:val="ta"/>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ta"/>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ta"/>
              </w:rPr>
              <w:t>OnTrack</w:t>
            </w:r>
          </w:p>
          <w:p w14:paraId="797C9C07" w14:textId="035D215D" w:rsidR="00576207" w:rsidRPr="00F70FDB" w:rsidRDefault="00F5104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sidR="00576207">
                <w:rPr>
                  <w:rStyle w:val="Hyperlink"/>
                  <w:lang w:val="ta"/>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ta"/>
              </w:rPr>
              <w:t>University of Notre Dame</w:t>
            </w:r>
          </w:p>
        </w:tc>
        <w:tc>
          <w:tcPr>
            <w:tcW w:w="7968" w:type="dxa"/>
            <w:vAlign w:val="center"/>
          </w:tcPr>
          <w:p w14:paraId="14CAFAC6" w14:textId="6DF0EC27" w:rsidR="0017211A" w:rsidRPr="00F41EB5"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eastAsiaTheme="minorEastAsia" w:hint="eastAsia"/>
                <w:lang w:eastAsia="zh-CN"/>
              </w:rPr>
            </w:pPr>
            <w:r>
              <w:rPr>
                <w:lang w:val="ta"/>
              </w:rPr>
              <w:t xml:space="preserve">மூன்றாம் நிலை வழித்தடத் திட்டம் (TPP) </w:t>
            </w:r>
            <w:hyperlink r:id="rId20" w:history="1">
              <w:r w:rsidRPr="00F41EB5">
                <w:rPr>
                  <w:rStyle w:val="Hyperlink"/>
                  <w:lang w:val="ta"/>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ta"/>
              </w:rPr>
              <w:t>University of Western Australia</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ta"/>
              </w:rPr>
              <w:t>ஆஸ்திரேலிய பல்கலைக்கழகம் அல்லது இணைந்த கல்லூரியில் 65% அல்லது அதற்கு மேற்பட்ட இறுதி சராசரி மதிப்பெண்ணுடன் செயல்படுத்தும் திட்டங்களை வெற்றிகரமாக முடித்த பிறகு மேற்கு ஆஸ்திரேலியா பல்கலைக்கழகம் (The University of Western Australia) சேர்க்கையை ஏற்றுக்கொள்கிறது.</w:t>
            </w:r>
          </w:p>
          <w:p w14:paraId="72C84738" w14:textId="44E2C581" w:rsidR="006261DA" w:rsidRDefault="00F51047"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sidR="006261DA">
                <w:rPr>
                  <w:rStyle w:val="Hyperlink"/>
                  <w:lang w:val="ta"/>
                </w:rPr>
                <w:t>https://www.uwa.edu.au/study/how-to-apply/admission-entry-pathways/enabling-programs</w:t>
              </w:r>
            </w:hyperlink>
            <w:r w:rsidR="006261DA">
              <w:rPr>
                <w:lang w:val="ta"/>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ta"/>
        </w:rPr>
        <w:t>தொழிற்கல்வி மற்றும் பயிற்சி (VET)</w:t>
      </w:r>
    </w:p>
    <w:p w14:paraId="2B655608" w14:textId="73D46355" w:rsidR="00F321C6" w:rsidRDefault="00553638" w:rsidP="00CC54CA">
      <w:pPr>
        <w:pStyle w:val="BodyText"/>
        <w:spacing w:before="5" w:after="120"/>
      </w:pPr>
      <w:r>
        <w:rPr>
          <w:lang w:val="ta"/>
        </w:rPr>
        <w:t>தொழிற்கல்வி மற்றும் பயிற்சி (VET) தகுதிகள் உயர்கல்விக்கு சிறந்த பாதைகளாகச் செயல்படும். பல்வேறு இளங்கலைப் படிப்புகளுக்கான குறைந்தபட்ச நுழைவுத் தேவைகளைப் பூர்த்தி செய்ய மாணவர்கள் VET தகுதிகளைப் பயன்படுத்தலாம். தொடர்புடைய VET தகுதிகள் மேம்பட்ட நிலை அல்லது கடன் பரிமாற்ற ஏற்பாடுகளையும் வழங்கக்கூடும், இது தொழில் பயிற்சி மூலம் பெறப்பட்ட திறன்கள் மற்றும் அறிவை அங்கீகரிக்கிறது.</w:t>
      </w:r>
    </w:p>
    <w:tbl>
      <w:tblPr>
        <w:tblStyle w:val="DOETable1"/>
        <w:tblW w:w="9634" w:type="dxa"/>
        <w:tblLook w:val="04A0" w:firstRow="1" w:lastRow="0" w:firstColumn="1" w:lastColumn="0" w:noHBand="0" w:noVBand="1"/>
      </w:tblPr>
      <w:tblGrid>
        <w:gridCol w:w="2417"/>
        <w:gridCol w:w="7217"/>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ta"/>
              </w:rPr>
              <w:lastRenderedPageBreak/>
              <w:t>பல்கலைக்கழகம்</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 xml:space="preserve"> வலைத்தளம்</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ta"/>
              </w:rPr>
              <w:t>Curtin</w:t>
            </w:r>
          </w:p>
        </w:tc>
        <w:tc>
          <w:tcPr>
            <w:tcW w:w="8231" w:type="dxa"/>
            <w:vAlign w:val="center"/>
          </w:tcPr>
          <w:p w14:paraId="0F1299BF" w14:textId="77777777" w:rsidR="00CC54CA" w:rsidRDefault="00F51047"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sidR="00CC54CA">
                <w:rPr>
                  <w:rStyle w:val="Hyperlink"/>
                  <w:lang w:val="ta"/>
                </w:rPr>
                <w:t>https://www.curtin.edu.au/study/applying/pathways/tafe-vet/</w:t>
              </w:r>
            </w:hyperlink>
            <w:r w:rsidR="00CC54CA">
              <w:rPr>
                <w:lang w:val="ta"/>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ta"/>
              </w:rPr>
              <w:t>Edith Cowan</w:t>
            </w:r>
          </w:p>
        </w:tc>
        <w:tc>
          <w:tcPr>
            <w:tcW w:w="8231" w:type="dxa"/>
            <w:vAlign w:val="center"/>
          </w:tcPr>
          <w:p w14:paraId="6C59B678" w14:textId="31424A15" w:rsidR="00CC54CA" w:rsidRPr="00BE43AE" w:rsidRDefault="00F51047"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sidR="00CC54CA">
                <w:rPr>
                  <w:color w:val="0462C1"/>
                  <w:u w:val="single"/>
                  <w:lang w:val="ta"/>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ta"/>
              </w:rPr>
              <w:t>Murdoch</w:t>
            </w:r>
          </w:p>
        </w:tc>
        <w:tc>
          <w:tcPr>
            <w:tcW w:w="8231" w:type="dxa"/>
            <w:vAlign w:val="center"/>
          </w:tcPr>
          <w:p w14:paraId="280760CA" w14:textId="0FC5DFE2" w:rsidR="00CC54CA" w:rsidRDefault="00F51047"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sidR="00CC54CA">
                <w:rPr>
                  <w:rStyle w:val="Hyperlink"/>
                  <w:rFonts w:eastAsia="Arial"/>
                  <w:szCs w:val="22"/>
                  <w:lang w:val="ta"/>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ta"/>
              </w:rPr>
              <w:t>University of Notre Dame</w:t>
            </w:r>
          </w:p>
        </w:tc>
        <w:tc>
          <w:tcPr>
            <w:tcW w:w="8231" w:type="dxa"/>
            <w:vAlign w:val="center"/>
          </w:tcPr>
          <w:p w14:paraId="5B6E7B2C" w14:textId="77777777" w:rsidR="00CC54CA" w:rsidRDefault="00F51047"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sidR="00CC54CA">
                <w:rPr>
                  <w:rStyle w:val="Hyperlink"/>
                  <w:lang w:val="ta"/>
                </w:rPr>
                <w:t>https://www.notredame.edu.au/study/applications-and-admissions/pathways/other-entry-pathways</w:t>
              </w:r>
            </w:hyperlink>
            <w:r w:rsidR="00CC54CA">
              <w:rPr>
                <w:lang w:val="ta"/>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ta"/>
              </w:rPr>
              <w:t>University of Western Australia</w:t>
            </w:r>
          </w:p>
        </w:tc>
        <w:tc>
          <w:tcPr>
            <w:tcW w:w="8231" w:type="dxa"/>
            <w:vAlign w:val="center"/>
          </w:tcPr>
          <w:p w14:paraId="2B08F842" w14:textId="2EB2E51A" w:rsidR="00CC54CA" w:rsidRDefault="00F51047"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sidR="00CC54CA">
                <w:rPr>
                  <w:rStyle w:val="Hyperlink"/>
                  <w:lang w:val="ta"/>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F41EB5">
          <w:headerReference w:type="first" r:id="rId27"/>
          <w:footerReference w:type="first" r:id="rId28"/>
          <w:type w:val="continuous"/>
          <w:pgSz w:w="11906" w:h="16838" w:code="9"/>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ta"/>
        </w:rPr>
        <w:t>பணிச்சமிப்பு பதிவுகள்</w:t>
      </w:r>
    </w:p>
    <w:p w14:paraId="539632D5" w14:textId="5E3C506F" w:rsidR="00F321C6" w:rsidRDefault="00291390" w:rsidP="00037E99">
      <w:pPr>
        <w:spacing w:after="240"/>
      </w:pPr>
      <w:r>
        <w:rPr>
          <w:lang w:val="ta"/>
        </w:rPr>
        <w:t xml:space="preserve">கல்வி சாதனைகள், தகுதிகள், திறன்கள் மற்றும் மூன்றாம் நிலை படிப்புக்கான பொருத்தத்தை வெளிப்படுத்தும் ஒரு பணிச்சமிப்பின் (portfolio) அடிப்படையில் குறிப்பிட்ட இளங்கலை படிப்புகளில் சேர மாணவர்கள் பரிசீலிக்கப்படலாம். </w:t>
      </w:r>
    </w:p>
    <w:p w14:paraId="541DB3B5" w14:textId="2876061D" w:rsidR="00355F8F" w:rsidRDefault="00F51047" w:rsidP="00037E99">
      <w:pPr>
        <w:pStyle w:val="BodyText"/>
        <w:spacing w:before="120" w:after="120"/>
      </w:pPr>
      <w:hyperlink r:id="rId29">
        <w:r w:rsidR="00355F8F">
          <w:rPr>
            <w:lang w:val="ta"/>
          </w:rPr>
          <w:t>P</w:t>
        </w:r>
      </w:hyperlink>
      <w:r w:rsidR="00355F8F">
        <w:rPr>
          <w:lang w:val="ta"/>
        </w:rPr>
        <w:t xml:space="preserve">ortfolio உள்ளீடு பல்வேறு படிப்புகளுக்குக் கிடைக்கிறது. சில படிப்புகள் கூடுதல் படிப்பு சார்ந்த சேர்க்கை அளவுகோல்களைக் கொண்டுள்ளன. </w:t>
      </w:r>
    </w:p>
    <w:tbl>
      <w:tblPr>
        <w:tblStyle w:val="DOETable1"/>
        <w:tblW w:w="9634" w:type="dxa"/>
        <w:tblLook w:val="04A0" w:firstRow="1" w:lastRow="0" w:firstColumn="1" w:lastColumn="0" w:noHBand="0" w:noVBand="1"/>
      </w:tblPr>
      <w:tblGrid>
        <w:gridCol w:w="2417"/>
        <w:gridCol w:w="7217"/>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ta"/>
              </w:rPr>
              <w:t>பல்கலைக்கழகம்</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ta"/>
              </w:rPr>
              <w:t>Curtin</w:t>
            </w:r>
          </w:p>
        </w:tc>
        <w:tc>
          <w:tcPr>
            <w:tcW w:w="8079" w:type="dxa"/>
            <w:vAlign w:val="center"/>
          </w:tcPr>
          <w:p w14:paraId="0711E06E" w14:textId="1CE9E168" w:rsidR="00291390" w:rsidRDefault="00F51047"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0" w:history="1">
              <w:r w:rsidR="00291390">
                <w:rPr>
                  <w:rStyle w:val="Hyperlink"/>
                  <w:lang w:val="ta"/>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ta"/>
              </w:rPr>
              <w:t>Edith Cowan</w:t>
            </w:r>
          </w:p>
        </w:tc>
        <w:tc>
          <w:tcPr>
            <w:tcW w:w="8079" w:type="dxa"/>
            <w:vAlign w:val="center"/>
          </w:tcPr>
          <w:p w14:paraId="593B2EDA" w14:textId="67E24947" w:rsidR="00291390" w:rsidRPr="00FD22D7" w:rsidRDefault="00F51047"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1" w:history="1">
              <w:r w:rsidR="00C52878">
                <w:rPr>
                  <w:rStyle w:val="Hyperlink"/>
                  <w:lang w:val="ta"/>
                </w:rPr>
                <w:t>https://www.ecu.edu.au/future-students/course-entry/creative-arts-portfolio-entry</w:t>
              </w:r>
            </w:hyperlink>
            <w:r w:rsidR="00C52878">
              <w:rPr>
                <w:lang w:val="ta"/>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ta"/>
              </w:rPr>
              <w:t>Murdoch</w:t>
            </w:r>
          </w:p>
        </w:tc>
        <w:tc>
          <w:tcPr>
            <w:tcW w:w="8079" w:type="dxa"/>
            <w:vAlign w:val="center"/>
          </w:tcPr>
          <w:p w14:paraId="4636685C" w14:textId="62E60CDA" w:rsidR="007252A8" w:rsidRDefault="00F51047"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2" w:history="1">
              <w:r w:rsidR="000C30B6">
                <w:rPr>
                  <w:rStyle w:val="Hyperlink"/>
                  <w:lang w:val="ta"/>
                </w:rPr>
                <w:t>https://www.murdoch.edu.au/study/pathways-to-uni/enabling-pathways/experience-based-entry/media-portfolio</w:t>
              </w:r>
            </w:hyperlink>
            <w:r w:rsidR="000C30B6">
              <w:rPr>
                <w:lang w:val="ta"/>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Pr="00F41EB5" w:rsidRDefault="00773BC6" w:rsidP="00F70FDB">
      <w:pPr>
        <w:spacing w:before="120" w:after="60" w:line="259" w:lineRule="auto"/>
        <w:rPr>
          <w:rFonts w:eastAsia="Arial"/>
          <w:b/>
          <w:bCs/>
          <w:spacing w:val="-2"/>
          <w:szCs w:val="22"/>
        </w:rPr>
      </w:pPr>
      <w:r w:rsidRPr="00F41EB5">
        <w:rPr>
          <w:rFonts w:eastAsia="Arial"/>
          <w:b/>
          <w:bCs/>
          <w:szCs w:val="22"/>
          <w:lang w:val="ta"/>
        </w:rPr>
        <w:t>பழங்குடியினர் மற்றும் டோரஸ் நீரிணைத் தீவு மாணவர்களுக்கான பாதைகள் மற்றும் ஆதரவு</w:t>
      </w:r>
    </w:p>
    <w:p w14:paraId="5FF3D6A9" w14:textId="596FCCEB" w:rsidR="00296F74" w:rsidRPr="00BE43AE" w:rsidRDefault="00296F74" w:rsidP="00F70FDB">
      <w:pPr>
        <w:spacing w:after="120" w:line="259" w:lineRule="auto"/>
        <w:rPr>
          <w:rFonts w:eastAsia="Arial"/>
          <w:b/>
          <w:bCs/>
          <w:spacing w:val="-2"/>
        </w:rPr>
      </w:pPr>
      <w:r>
        <w:rPr>
          <w:szCs w:val="22"/>
          <w:lang w:val="ta"/>
        </w:rPr>
        <w:t xml:space="preserve">பல்கலைக்கழகங்கள், பழங்குடியினர் மற்றும் டோரஸ் நீரிணைத் தீவு மாணவர்களுக்காக பிரத்யேகமாக வடிவமைக்கப்பட்ட சிறப்பு செயல்படுத்தும் பாதைகளை வழங்குகின்றன, தனிநபர்கள் மற்றும் அவர்களின் சமூகங்கள் தங்கள் கல்வி லட்சியங்களை அடைவதற்கு ஆதரவளிப்பதை நோக்கமாகக் கொண்டுள்ளன. </w:t>
      </w:r>
    </w:p>
    <w:tbl>
      <w:tblPr>
        <w:tblStyle w:val="DOETable1"/>
        <w:tblW w:w="9639" w:type="dxa"/>
        <w:tblInd w:w="-5" w:type="dxa"/>
        <w:tblLook w:val="04A0" w:firstRow="1" w:lastRow="0" w:firstColumn="1" w:lastColumn="0" w:noHBand="0" w:noVBand="1"/>
      </w:tblPr>
      <w:tblGrid>
        <w:gridCol w:w="2417"/>
        <w:gridCol w:w="722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ta"/>
              </w:rPr>
              <w:t>பல்கலைக்கழகம்</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ta"/>
              </w:rPr>
              <w:t>Curtin</w:t>
            </w:r>
          </w:p>
        </w:tc>
        <w:tc>
          <w:tcPr>
            <w:tcW w:w="7512" w:type="dxa"/>
            <w:vAlign w:val="center"/>
          </w:tcPr>
          <w:p w14:paraId="37C528B7" w14:textId="77777777" w:rsidR="00773BC6" w:rsidRDefault="00F51047"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3" w:history="1">
              <w:r w:rsidR="00FD5DE5">
                <w:rPr>
                  <w:rStyle w:val="Hyperlink"/>
                  <w:shd w:val="clear" w:color="auto" w:fill="FFFFFF"/>
                  <w:lang w:val="ta"/>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ta"/>
              </w:rPr>
              <w:t>Edith Cowan</w:t>
            </w:r>
          </w:p>
        </w:tc>
        <w:tc>
          <w:tcPr>
            <w:tcW w:w="7512" w:type="dxa"/>
            <w:vAlign w:val="center"/>
          </w:tcPr>
          <w:p w14:paraId="1D45056B" w14:textId="77777777" w:rsidR="00773BC6" w:rsidRPr="005904BE" w:rsidRDefault="00F51047"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4" w:history="1">
              <w:r w:rsidR="00FD5DE5">
                <w:rPr>
                  <w:rStyle w:val="Hyperlink"/>
                  <w:lang w:val="ta"/>
                </w:rPr>
                <w:t>https://www.ecu.edu.au/degrees/aboriginal-and-or-torres-strait-islanders</w:t>
              </w:r>
            </w:hyperlink>
            <w:r w:rsidR="00FD5DE5">
              <w:rPr>
                <w:lang w:val="ta"/>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ta"/>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ta"/>
              </w:rPr>
              <w:t>K-Track</w:t>
            </w:r>
          </w:p>
          <w:p w14:paraId="318B391B" w14:textId="752FFA43" w:rsidR="00773BC6" w:rsidRDefault="00F51047"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5" w:history="1">
              <w:r w:rsidR="00D4034E">
                <w:rPr>
                  <w:rStyle w:val="Hyperlink"/>
                  <w:lang w:val="ta"/>
                </w:rPr>
                <w:t>https://www.murdoch.edu.au/course/Enabling/N1077</w:t>
              </w:r>
            </w:hyperlink>
            <w:r w:rsidR="00D4034E">
              <w:rPr>
                <w:lang w:val="ta"/>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ta"/>
              </w:rPr>
              <w:lastRenderedPageBreak/>
              <w:t>University of Notre Dame</w:t>
            </w:r>
          </w:p>
        </w:tc>
        <w:tc>
          <w:tcPr>
            <w:tcW w:w="7512" w:type="dxa"/>
            <w:vAlign w:val="center"/>
          </w:tcPr>
          <w:p w14:paraId="0D6C8772" w14:textId="77777777" w:rsidR="00773BC6" w:rsidRPr="003E1590" w:rsidRDefault="00F51047"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6" w:history="1">
              <w:r w:rsidR="00FD5DE5">
                <w:rPr>
                  <w:rStyle w:val="Hyperlink"/>
                  <w:lang w:val="ta"/>
                </w:rPr>
                <w:t>https://www.notredame.edu.au/students/support/aboriginal-and-torres-strait-islander-support</w:t>
              </w:r>
            </w:hyperlink>
            <w:r w:rsidR="00FD5DE5">
              <w:rPr>
                <w:lang w:val="ta"/>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ta"/>
              </w:rPr>
              <w:t>University of Western Australia</w:t>
            </w:r>
          </w:p>
        </w:tc>
        <w:tc>
          <w:tcPr>
            <w:tcW w:w="7512" w:type="dxa"/>
            <w:vAlign w:val="center"/>
          </w:tcPr>
          <w:p w14:paraId="7A861E52" w14:textId="6278359D" w:rsidR="00773BC6" w:rsidRDefault="00F51047"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r w:rsidR="00773BC6">
                <w:rPr>
                  <w:color w:val="0462C1"/>
                  <w:u w:val="single"/>
                  <w:lang w:val="ta"/>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ta"/>
        </w:rPr>
        <w:t>International Big Picture Learning Credential (IBPLC)</w:t>
      </w:r>
    </w:p>
    <w:p w14:paraId="7B941B8F" w14:textId="74C95C10" w:rsidR="00266A20" w:rsidRPr="00830D9A" w:rsidRDefault="00203DE5" w:rsidP="00203DE5">
      <w:pPr>
        <w:rPr>
          <w:szCs w:val="22"/>
        </w:rPr>
      </w:pPr>
      <w:r>
        <w:rPr>
          <w:lang w:val="ta"/>
        </w:rPr>
        <w:t>IBPLC என்பது இறுதி ஆண்டு மதிப்பீட்டின் தனிப்பயனாக்கப்பட்ட வடிவமாகும், இது பரந்த அளவிலான திறன்கள், அனுபவங்கள் மற்றும் குணங்களை அளவிடுகிறது மற்றும் கைப்பற்றுகிறது. இந்த நற்சான்றிதழைக் கொண்ட பட்டதாரிகளுக்கு ஆஸ்திரேலிய பல்கலைக்கழகங்கள் பல இடங்களை வழங்குகின்றன.</w:t>
      </w:r>
    </w:p>
    <w:p w14:paraId="592AB710" w14:textId="23029E3C" w:rsidR="00203DE5" w:rsidRPr="009F3FC4" w:rsidRDefault="00F51047" w:rsidP="00037E99">
      <w:pPr>
        <w:spacing w:before="120"/>
        <w:rPr>
          <w:color w:val="313131"/>
          <w:szCs w:val="22"/>
        </w:rPr>
      </w:pPr>
      <w:hyperlink r:id="rId38" w:history="1">
        <w:r w:rsidR="00266A20">
          <w:rPr>
            <w:rStyle w:val="Hyperlink"/>
            <w:szCs w:val="22"/>
            <w:lang w:val="ta"/>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F41EB5">
          <w:type w:val="continuous"/>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ta"/>
        </w:rPr>
        <w:t>அனுபவ அடிப்படையிலான பதிவு</w:t>
      </w:r>
    </w:p>
    <w:p w14:paraId="25E6D505" w14:textId="485258A7" w:rsidR="00F321C6" w:rsidRDefault="00D33C0E" w:rsidP="004C3145">
      <w:pPr>
        <w:spacing w:after="120"/>
      </w:pPr>
      <w:r>
        <w:rPr>
          <w:lang w:val="ta"/>
        </w:rPr>
        <w:t>வழங்கப்பட்ட ஆதாரங்களின் அடிப்படையில், உயர்கல்வியில் வெற்றிபெறும் திறனைப் பற்றிய பல்கலைக்கழக மதிப்பீட்டின் மூலம், இளங்கலைப் படிப்பில் சேர மாணவர்கள் பரிசீலிக்கப்படலாம்.</w:t>
      </w:r>
    </w:p>
    <w:tbl>
      <w:tblPr>
        <w:tblStyle w:val="DOETable1"/>
        <w:tblW w:w="9634" w:type="dxa"/>
        <w:tblLook w:val="04A0" w:firstRow="1" w:lastRow="0" w:firstColumn="1" w:lastColumn="0" w:noHBand="0" w:noVBand="1"/>
      </w:tblPr>
      <w:tblGrid>
        <w:gridCol w:w="2417"/>
        <w:gridCol w:w="7217"/>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ta"/>
              </w:rPr>
              <w:t>பல்கலைக்கழகம்</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ta"/>
              </w:rPr>
              <w:t>Edith Cowan</w:t>
            </w:r>
          </w:p>
        </w:tc>
        <w:tc>
          <w:tcPr>
            <w:tcW w:w="7696" w:type="dxa"/>
          </w:tcPr>
          <w:p w14:paraId="3A7A3ECB" w14:textId="39A54CF5" w:rsidR="00D33C0E" w:rsidRPr="00FD22D7" w:rsidRDefault="00F51047"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sidR="00FD5DE5">
                <w:rPr>
                  <w:rStyle w:val="Hyperlink"/>
                  <w:lang w:val="ta"/>
                </w:rPr>
                <w:t>https://www.ecu.edu.au/future-students/course-entry/experience-based-entry-scheme</w:t>
              </w:r>
            </w:hyperlink>
            <w:r w:rsidR="00FD5DE5">
              <w:rPr>
                <w:rStyle w:val="Hyperlink"/>
                <w:lang w:val="ta"/>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ta"/>
              </w:rPr>
              <w:t>Murdoch</w:t>
            </w:r>
          </w:p>
        </w:tc>
        <w:tc>
          <w:tcPr>
            <w:tcW w:w="7696" w:type="dxa"/>
          </w:tcPr>
          <w:p w14:paraId="6791F0FB" w14:textId="61EB3AAC" w:rsidR="00DC55D8" w:rsidDel="00E36C6A" w:rsidRDefault="00F51047"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0" w:history="1">
              <w:r w:rsidR="00DC55D8">
                <w:rPr>
                  <w:rStyle w:val="Hyperlink"/>
                  <w:lang w:val="ta"/>
                </w:rPr>
                <w:t>https://www.murdoch.edu.au/study/pathways-to-uni/enabling-pathways/experience-based-entry</w:t>
              </w:r>
            </w:hyperlink>
            <w:r w:rsidR="00DC55D8">
              <w:rPr>
                <w:lang w:val="ta"/>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ta"/>
              </w:rPr>
              <w:t>University of Notre Dame</w:t>
            </w:r>
          </w:p>
        </w:tc>
        <w:tc>
          <w:tcPr>
            <w:tcW w:w="7696" w:type="dxa"/>
            <w:shd w:val="clear" w:color="auto" w:fill="FFFFFF" w:themeFill="background1"/>
          </w:tcPr>
          <w:p w14:paraId="13FC4A1E" w14:textId="08D00B8E" w:rsidR="004C7715" w:rsidRPr="00D33C0E" w:rsidRDefault="00F51047"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sidR="00FD5DE5">
                <w:rPr>
                  <w:rStyle w:val="Hyperlink"/>
                  <w:lang w:val="ta"/>
                </w:rPr>
                <w:t>https://www.notredame.edu.au/study/applications-and-admissions/pathways/other-entry-pathways</w:t>
              </w:r>
            </w:hyperlink>
            <w:r w:rsidR="00FD5DE5">
              <w:rPr>
                <w:lang w:val="ta"/>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ta"/>
              </w:rPr>
              <w:t>University of Western Australia</w:t>
            </w:r>
          </w:p>
        </w:tc>
        <w:tc>
          <w:tcPr>
            <w:tcW w:w="7696" w:type="dxa"/>
          </w:tcPr>
          <w:p w14:paraId="2DB2CB61" w14:textId="37EAC98B" w:rsidR="001F1ECD" w:rsidRPr="009F3FC4" w:rsidRDefault="00F51047"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2" w:history="1">
              <w:r w:rsidR="00FD5DE5">
                <w:rPr>
                  <w:rStyle w:val="Hyperlink"/>
                  <w:lang w:val="ta"/>
                </w:rPr>
                <w:t>https://www.uwa.edu.au/study/How-to-apply/Admission-entry-pathways/Experience-based-entry</w:t>
              </w:r>
            </w:hyperlink>
            <w:r w:rsidR="00FD5DE5">
              <w:rPr>
                <w:color w:val="0462C1"/>
                <w:u w:val="single"/>
                <w:lang w:val="ta"/>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ta"/>
        </w:rPr>
        <w:t>மூன்றாம் நிலை நிறுவனங்கள் சேவை மையம் (TISC)</w:t>
      </w:r>
    </w:p>
    <w:p w14:paraId="4690CE99" w14:textId="665E54C7" w:rsidR="00530AA7" w:rsidRPr="00F41EB5" w:rsidRDefault="00F51047" w:rsidP="000627DD">
      <w:pPr>
        <w:rPr>
          <w:rFonts w:eastAsia="Times New Roman"/>
          <w:szCs w:val="22"/>
          <w:shd w:val="clear" w:color="auto" w:fill="FFFFFF"/>
        </w:rPr>
      </w:pPr>
      <w:hyperlink r:id="rId43" w:history="1">
        <w:r w:rsidR="00530AA7" w:rsidRPr="00F41EB5">
          <w:rPr>
            <w:rStyle w:val="Hyperlink"/>
            <w:rFonts w:eastAsia="Times New Roman"/>
            <w:szCs w:val="22"/>
            <w:shd w:val="clear" w:color="auto" w:fill="FFFFFF"/>
            <w:lang w:val="ta"/>
          </w:rPr>
          <w:t>https://www.tisc.edu.au/static/home.tisc</w:t>
        </w:r>
      </w:hyperlink>
    </w:p>
    <w:p w14:paraId="477EF9D1" w14:textId="77777777" w:rsidR="00530AA7" w:rsidRPr="00F41EB5" w:rsidRDefault="00530AA7" w:rsidP="000627DD">
      <w:pPr>
        <w:rPr>
          <w:rFonts w:eastAsia="Times New Roman"/>
          <w:szCs w:val="22"/>
          <w:shd w:val="clear" w:color="auto" w:fill="FFFFFF"/>
        </w:rPr>
      </w:pPr>
    </w:p>
    <w:p w14:paraId="056665D5" w14:textId="440679E4" w:rsidR="00532B84" w:rsidRPr="00F41EB5" w:rsidRDefault="00532B84" w:rsidP="000627DD">
      <w:pPr>
        <w:rPr>
          <w:rFonts w:eastAsia="Times New Roman"/>
          <w:szCs w:val="22"/>
        </w:rPr>
      </w:pPr>
      <w:r w:rsidRPr="00F41EB5">
        <w:rPr>
          <w:rFonts w:eastAsia="Times New Roman"/>
          <w:szCs w:val="22"/>
          <w:shd w:val="clear" w:color="auto" w:fill="FFFFFF"/>
          <w:lang w:val="ta"/>
        </w:rPr>
        <w:t>TISC பின்வரும் சேவைகளை வழங்குகிறது:</w:t>
      </w:r>
    </w:p>
    <w:p w14:paraId="445D4E35" w14:textId="1C6D8951" w:rsidR="00532B84" w:rsidRPr="00F41EB5" w:rsidRDefault="00532B84" w:rsidP="008358E7">
      <w:pPr>
        <w:numPr>
          <w:ilvl w:val="0"/>
          <w:numId w:val="26"/>
        </w:numPr>
        <w:ind w:left="723"/>
        <w:rPr>
          <w:rFonts w:eastAsia="Times New Roman"/>
          <w:szCs w:val="22"/>
        </w:rPr>
      </w:pPr>
      <w:r w:rsidRPr="00F41EB5">
        <w:rPr>
          <w:rFonts w:eastAsia="Times New Roman"/>
          <w:szCs w:val="22"/>
          <w:lang w:val="ta"/>
        </w:rPr>
        <w:t xml:space="preserve">மேற்கண்ட பல்கலைக்கழகங்களில் இளங்கலை படிப்புகளில் சேருவதற்கான </w:t>
      </w:r>
      <w:hyperlink r:id="rId44" w:history="1">
        <w:r w:rsidRPr="00F41EB5">
          <w:rPr>
            <w:rStyle w:val="Hyperlink"/>
            <w:rFonts w:eastAsia="Times New Roman"/>
            <w:szCs w:val="22"/>
            <w:shd w:val="clear" w:color="auto" w:fill="FFFFFF"/>
            <w:lang w:val="ta"/>
          </w:rPr>
          <w:t>விண்ணப்பங்கள்</w:t>
        </w:r>
      </w:hyperlink>
      <w:r w:rsidRPr="00F41EB5">
        <w:rPr>
          <w:rStyle w:val="Hyperlink"/>
          <w:rFonts w:eastAsia="Times New Roman"/>
          <w:szCs w:val="22"/>
          <w:u w:val="none"/>
          <w:shd w:val="clear" w:color="auto" w:fill="FFFFFF"/>
          <w:lang w:val="ta"/>
        </w:rPr>
        <w:t xml:space="preserve"> </w:t>
      </w:r>
      <w:r w:rsidRPr="00F41EB5">
        <w:rPr>
          <w:rFonts w:eastAsia="Times New Roman"/>
          <w:szCs w:val="22"/>
          <w:lang w:val="ta"/>
        </w:rPr>
        <w:t xml:space="preserve"> செயலாக்கம்.</w:t>
      </w:r>
    </w:p>
    <w:p w14:paraId="4A8E1913" w14:textId="77777777" w:rsidR="00532B84" w:rsidRPr="00F41EB5" w:rsidRDefault="00532B84" w:rsidP="008358E7">
      <w:pPr>
        <w:numPr>
          <w:ilvl w:val="0"/>
          <w:numId w:val="26"/>
        </w:numPr>
        <w:ind w:left="723"/>
        <w:rPr>
          <w:rFonts w:eastAsia="Times New Roman"/>
          <w:szCs w:val="22"/>
        </w:rPr>
      </w:pPr>
      <w:r w:rsidRPr="00F41EB5">
        <w:rPr>
          <w:rFonts w:eastAsia="Times New Roman"/>
          <w:szCs w:val="22"/>
          <w:lang w:val="ta"/>
        </w:rPr>
        <w:t>சிறப்பு மூன்றாம் நிலை சேர்க்கை தேர்வை நடத்துதல் (</w:t>
      </w:r>
      <w:hyperlink r:id="rId45" w:history="1">
        <w:r w:rsidRPr="00F41EB5">
          <w:rPr>
            <w:rStyle w:val="Hyperlink"/>
            <w:rFonts w:eastAsia="Times New Roman"/>
            <w:szCs w:val="22"/>
            <w:shd w:val="clear" w:color="auto" w:fill="FFFFFF"/>
            <w:lang w:val="ta"/>
          </w:rPr>
          <w:t>STAT</w:t>
        </w:r>
      </w:hyperlink>
      <w:r w:rsidRPr="00F41EB5">
        <w:rPr>
          <w:rFonts w:eastAsia="Times New Roman"/>
          <w:szCs w:val="22"/>
          <w:u w:val="single"/>
          <w:lang w:val="ta"/>
        </w:rPr>
        <w:t>)</w:t>
      </w:r>
      <w:r w:rsidRPr="00F41EB5">
        <w:rPr>
          <w:rFonts w:eastAsia="Times New Roman"/>
          <w:szCs w:val="22"/>
          <w:lang w:val="ta"/>
        </w:rPr>
        <w:t>.</w:t>
      </w:r>
    </w:p>
    <w:p w14:paraId="4864D53A" w14:textId="4D48BA7C" w:rsidR="00532B84" w:rsidRPr="00F41EB5" w:rsidRDefault="00532B84" w:rsidP="008358E7">
      <w:pPr>
        <w:numPr>
          <w:ilvl w:val="0"/>
          <w:numId w:val="26"/>
        </w:numPr>
        <w:ind w:left="723"/>
        <w:rPr>
          <w:rFonts w:eastAsia="Times New Roman"/>
          <w:szCs w:val="22"/>
        </w:rPr>
      </w:pPr>
      <w:r w:rsidRPr="00F41EB5">
        <w:rPr>
          <w:rFonts w:eastAsia="Times New Roman"/>
          <w:szCs w:val="22"/>
          <w:lang w:val="ta"/>
        </w:rPr>
        <w:t>மேற்கு ஆஸ்திரேலிய பல்கலைக்கழகங்களின் அறக்கட்டளை திட்டத்தை நிர்வகித்தல் (</w:t>
      </w:r>
      <w:hyperlink r:id="rId46" w:history="1">
        <w:r w:rsidRPr="00F41EB5">
          <w:rPr>
            <w:rStyle w:val="Hyperlink"/>
            <w:rFonts w:eastAsia="Times New Roman"/>
            <w:szCs w:val="22"/>
            <w:shd w:val="clear" w:color="auto" w:fill="FFFFFF"/>
            <w:lang w:val="ta"/>
          </w:rPr>
          <w:t>WAUFP</w:t>
        </w:r>
      </w:hyperlink>
      <w:r w:rsidRPr="00F41EB5">
        <w:rPr>
          <w:rFonts w:eastAsia="Times New Roman"/>
          <w:szCs w:val="22"/>
          <w:lang w:val="ta"/>
        </w:rPr>
        <w:t>).</w:t>
      </w:r>
    </w:p>
    <w:p w14:paraId="5F54FE6A" w14:textId="3E5D7BD4" w:rsidR="00532B84" w:rsidRPr="00F41EB5" w:rsidRDefault="00532B84" w:rsidP="008358E7">
      <w:pPr>
        <w:numPr>
          <w:ilvl w:val="0"/>
          <w:numId w:val="26"/>
        </w:numPr>
        <w:ind w:left="723"/>
        <w:rPr>
          <w:rFonts w:eastAsia="Times New Roman"/>
          <w:szCs w:val="22"/>
        </w:rPr>
      </w:pPr>
      <w:r w:rsidRPr="00F41EB5">
        <w:rPr>
          <w:rFonts w:eastAsia="Times New Roman"/>
          <w:szCs w:val="22"/>
          <w:lang w:val="ta"/>
        </w:rPr>
        <w:t xml:space="preserve">காலமுறை </w:t>
      </w:r>
      <w:hyperlink r:id="rId47" w:history="1">
        <w:r w:rsidRPr="00F41EB5">
          <w:rPr>
            <w:rStyle w:val="Hyperlink"/>
            <w:rFonts w:eastAsia="Times New Roman"/>
            <w:szCs w:val="22"/>
            <w:shd w:val="clear" w:color="auto" w:fill="FFFFFF"/>
            <w:lang w:val="ta"/>
          </w:rPr>
          <w:t>பள்ளி</w:t>
        </w:r>
        <w:r w:rsidRPr="00F41EB5">
          <w:rPr>
            <w:rStyle w:val="Hyperlink"/>
            <w:shd w:val="clear" w:color="auto" w:fill="FFFFFF"/>
            <w:lang w:val="ta"/>
          </w:rPr>
          <w:t>சுற்றறிக்கைகள்</w:t>
        </w:r>
      </w:hyperlink>
      <w:r w:rsidRPr="00F41EB5">
        <w:rPr>
          <w:rFonts w:eastAsia="Times New Roman"/>
          <w:szCs w:val="22"/>
          <w:lang w:val="ta"/>
        </w:rPr>
        <w:t xml:space="preserve"> வெளியிடுதல்.</w:t>
      </w:r>
    </w:p>
    <w:p w14:paraId="5AB11B5F" w14:textId="610B6290" w:rsidR="00532B84" w:rsidRPr="00F41EB5" w:rsidRDefault="00F51047" w:rsidP="008358E7">
      <w:pPr>
        <w:numPr>
          <w:ilvl w:val="0"/>
          <w:numId w:val="26"/>
        </w:numPr>
        <w:ind w:left="723"/>
        <w:rPr>
          <w:rFonts w:eastAsia="Times New Roman"/>
          <w:szCs w:val="22"/>
        </w:rPr>
      </w:pPr>
      <w:hyperlink r:id="rId48" w:history="1">
        <w:r w:rsidR="00532B84" w:rsidRPr="00F41EB5">
          <w:rPr>
            <w:rStyle w:val="Hyperlink"/>
            <w:rFonts w:eastAsia="Times New Roman"/>
            <w:szCs w:val="22"/>
            <w:shd w:val="clear" w:color="auto" w:fill="FFFFFF"/>
            <w:lang w:val="ta"/>
          </w:rPr>
          <w:t>அளவிடுதல்</w:t>
        </w:r>
      </w:hyperlink>
      <w:r w:rsidR="00532B84" w:rsidRPr="00F41EB5">
        <w:rPr>
          <w:rFonts w:eastAsia="Times New Roman"/>
          <w:szCs w:val="22"/>
          <w:lang w:val="ta"/>
        </w:rPr>
        <w:t xml:space="preserve">WACE முடிவுகள் மற்றும் WACE இல் உள்ள மாணவர்களுக்கு </w:t>
      </w:r>
      <w:hyperlink r:id="rId49" w:history="1">
        <w:r w:rsidR="00532B84" w:rsidRPr="00F41EB5">
          <w:rPr>
            <w:rStyle w:val="Hyperlink"/>
            <w:rFonts w:eastAsia="Times New Roman"/>
            <w:szCs w:val="22"/>
            <w:shd w:val="clear" w:color="auto" w:fill="FFFFFF"/>
            <w:lang w:val="ta"/>
          </w:rPr>
          <w:t>ATARகள்</w:t>
        </w:r>
      </w:hyperlink>
      <w:r w:rsidR="00532B84" w:rsidRPr="00F41EB5">
        <w:rPr>
          <w:rFonts w:eastAsia="Times New Roman"/>
          <w:szCs w:val="22"/>
          <w:lang w:val="ta"/>
        </w:rPr>
        <w:t xml:space="preserve"> கணக்கிடுதல்.</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ta"/>
        </w:rPr>
        <w:t xml:space="preserve">TISC உங்களுக்கு உதவியாக இருக்கும் பல்வேறு வளங்களை வழங்குகிறது, </w:t>
      </w:r>
      <w:r>
        <w:rPr>
          <w:color w:val="000000"/>
          <w:shd w:val="clear" w:color="auto" w:fill="FFFFFF"/>
          <w:lang w:val="ta"/>
        </w:rPr>
        <w:lastRenderedPageBreak/>
        <w:t>அவற்றில் ஒவ்வொரு ஆண்டும் தேவைகள் மற்றும் பாதை விருப்பங்களுடன் கிடைக்கும் பல்கலைக்கழக சேர்க்கை சிற்றேடு அடங்கும்.</w:t>
      </w:r>
    </w:p>
    <w:p w14:paraId="1DDA540F" w14:textId="3B46F704" w:rsidR="006C4D37" w:rsidRDefault="00F51047" w:rsidP="000627DD">
      <w:pPr>
        <w:pStyle w:val="BodyText"/>
        <w:rPr>
          <w:rStyle w:val="Hyperlink"/>
          <w:spacing w:val="-4"/>
          <w:shd w:val="clear" w:color="auto" w:fill="FFFFFF"/>
        </w:rPr>
      </w:pPr>
      <w:hyperlink r:id="rId50" w:history="1">
        <w:r w:rsidR="00C54FA6">
          <w:rPr>
            <w:rStyle w:val="Hyperlink"/>
            <w:shd w:val="clear" w:color="auto" w:fill="FFFFFF"/>
            <w:lang w:val="ta"/>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ta"/>
        </w:rPr>
        <w:t>கல்வி அணுகல் திட்டம்</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ta"/>
        </w:rPr>
        <w:t>கல்வி அணுகல் திட்டம் (EAS) WA பல்கலைக்கழகங்களில் இளங்கலை சேர்க்கை தேடும் விண்ணப்பதாரர்களை இலக்காகக் கொண்டது மற்றும் மூத்த மேல்நிலைப் பள்ளிப் படிப்பின் போது விதிவிலக்கான சூழ்நிலைகளை அனுபவித்தது, இது அவர்களின் 11/12 ஆம் ஆண்டு நிலை படிப்பை மோசமாகப் பாதித்தது. அவர்கள் சிறப்புப் பரிசீலனைக்கு விண்ணப்பிக்கலாம், இது அங்கீகரிக்கப்பட்டால் அவர்கள் பல்கலைக்கழகப் படிப்பில் சேர உதவும்.</w:t>
      </w:r>
    </w:p>
    <w:p w14:paraId="557D99D1" w14:textId="77777777" w:rsidR="00194F5F" w:rsidRDefault="00F51047" w:rsidP="00194F5F">
      <w:pPr>
        <w:pStyle w:val="BodyText"/>
        <w:spacing w:before="120"/>
        <w:rPr>
          <w:shd w:val="clear" w:color="auto" w:fill="FFFFFF"/>
        </w:rPr>
      </w:pPr>
      <w:hyperlink r:id="rId51" w:history="1">
        <w:r w:rsidR="00194F5F">
          <w:rPr>
            <w:rStyle w:val="Hyperlink"/>
            <w:lang w:val="ta"/>
          </w:rPr>
          <w:t>https://tisc.edu.au/static/guide/eas.tisc</w:t>
        </w:r>
      </w:hyperlink>
      <w:r w:rsidR="00194F5F">
        <w:rPr>
          <w:lang w:val="ta"/>
        </w:rPr>
        <w:t xml:space="preserve"> </w:t>
      </w:r>
    </w:p>
    <w:p w14:paraId="16422965" w14:textId="77777777" w:rsidR="00194F5F" w:rsidRDefault="00194F5F" w:rsidP="000627DD">
      <w:pPr>
        <w:pStyle w:val="BodyText"/>
      </w:pPr>
    </w:p>
    <w:sectPr w:rsidR="00194F5F" w:rsidSect="00F41EB5">
      <w:type w:val="continuous"/>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22AD1FF0" w:rsidR="008626AA" w:rsidRPr="00F26894" w:rsidRDefault="008626AA" w:rsidP="008626AA">
    <w:pPr>
      <w:pStyle w:val="Footer"/>
      <w:rPr>
        <w:sz w:val="18"/>
        <w:szCs w:val="14"/>
      </w:rPr>
    </w:pPr>
    <w:r>
      <w:rPr>
        <w:lang w:val="ta"/>
      </w:rPr>
      <w:tab/>
    </w:r>
    <w:r>
      <w:rPr>
        <w:lang w:val="t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D24/0269520</w:t>
        </w:r>
      </w:sdtContent>
    </w:sdt>
  </w:p>
  <w:p w14:paraId="3CC1B870" w14:textId="77A9C2A9" w:rsidR="000F6D5A" w:rsidRPr="008626AA" w:rsidRDefault="008626AA" w:rsidP="004C3145">
    <w:pPr>
      <w:pStyle w:val="Footer"/>
      <w:tabs>
        <w:tab w:val="right" w:pos="9638"/>
      </w:tabs>
    </w:pPr>
    <w:r>
      <w:rPr>
        <w:sz w:val="18"/>
        <w:szCs w:val="14"/>
        <w:lang w:val="ta"/>
      </w:rPr>
      <w:tab/>
    </w:r>
    <w:r>
      <w:rPr>
        <w:sz w:val="18"/>
        <w:szCs w:val="14"/>
        <w:lang w:val="ta"/>
      </w:rPr>
      <w:fldChar w:fldCharType="begin"/>
    </w:r>
    <w:r>
      <w:rPr>
        <w:sz w:val="18"/>
        <w:szCs w:val="14"/>
        <w:lang w:val="ta"/>
      </w:rPr>
      <w:instrText xml:space="preserve"> PAGE   \* MERGEFORMAT </w:instrText>
    </w:r>
    <w:r>
      <w:rPr>
        <w:sz w:val="18"/>
        <w:szCs w:val="14"/>
        <w:lang w:val="ta"/>
      </w:rPr>
      <w:fldChar w:fldCharType="separate"/>
    </w:r>
    <w:r>
      <w:rPr>
        <w:noProof/>
        <w:sz w:val="18"/>
        <w:szCs w:val="14"/>
        <w:lang w:val="ta"/>
      </w:rPr>
      <w:t>2</w:t>
    </w:r>
    <w:r>
      <w:rPr>
        <w:sz w:val="18"/>
        <w:szCs w:val="14"/>
        <w:lang w:val="ta"/>
      </w:rPr>
      <w:fldChar w:fldCharType="end"/>
    </w:r>
    <w:r>
      <w:rPr>
        <w:sz w:val="18"/>
        <w:szCs w:val="14"/>
        <w:lang w:val="ta"/>
      </w:rPr>
      <w:tab/>
      <w:t>March 2024</w:t>
    </w:r>
    <w:r>
      <w:rPr>
        <w:lang w:val="t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901ACE8" w:rsidR="00440775" w:rsidRPr="00A31523" w:rsidRDefault="001E1668" w:rsidP="001E1668">
    <w:pPr>
      <w:pStyle w:val="Footer"/>
      <w:rPr>
        <w:sz w:val="18"/>
        <w:szCs w:val="14"/>
      </w:rPr>
    </w:pPr>
    <w:r>
      <w:rPr>
        <w:lang w:val="ta"/>
      </w:rPr>
      <w:tab/>
    </w:r>
    <w:r>
      <w:rPr>
        <w:lang w:val="t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D24/0269520</w:t>
        </w:r>
      </w:sdtContent>
    </w:sdt>
  </w:p>
  <w:p w14:paraId="0E2C46A7" w14:textId="46F53C80" w:rsidR="00AF71AF" w:rsidRPr="00F26894" w:rsidRDefault="00440775" w:rsidP="001E1668">
    <w:pPr>
      <w:pStyle w:val="Footer"/>
      <w:rPr>
        <w:sz w:val="18"/>
        <w:szCs w:val="14"/>
      </w:rPr>
    </w:pPr>
    <w:r>
      <w:rPr>
        <w:sz w:val="18"/>
        <w:szCs w:val="14"/>
        <w:lang w:val="ta"/>
      </w:rPr>
      <w:tab/>
    </w:r>
    <w:r>
      <w:rPr>
        <w:sz w:val="18"/>
        <w:szCs w:val="14"/>
        <w:lang w:val="ta"/>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val="ta"/>
      </w:rPr>
      <w:tab/>
    </w:r>
    <w:r>
      <w:rPr>
        <w:lang w:val="ta"/>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D24/0269520</w:t>
        </w:r>
      </w:sdtContent>
    </w:sdt>
  </w:p>
  <w:p w14:paraId="2F1BA65F" w14:textId="77777777" w:rsidR="00274C17" w:rsidRDefault="00274C17" w:rsidP="00274C17">
    <w:pPr>
      <w:pStyle w:val="Footer"/>
      <w:rPr>
        <w:sz w:val="18"/>
        <w:szCs w:val="14"/>
      </w:rPr>
    </w:pPr>
    <w:r>
      <w:rPr>
        <w:sz w:val="18"/>
        <w:szCs w:val="14"/>
        <w:lang w:val="ta"/>
      </w:rPr>
      <w:tab/>
    </w:r>
    <w:r>
      <w:rPr>
        <w:sz w:val="18"/>
        <w:szCs w:val="14"/>
        <w:lang w:val="ta"/>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ta"/>
          </w:rPr>
          <w:fldChar w:fldCharType="begin"/>
        </w:r>
        <w:r>
          <w:rPr>
            <w:lang w:val="ta"/>
          </w:rPr>
          <w:instrText xml:space="preserve"> PAGE   \* MERGEFORMAT </w:instrText>
        </w:r>
        <w:r>
          <w:rPr>
            <w:lang w:val="ta"/>
          </w:rPr>
          <w:fldChar w:fldCharType="separate"/>
        </w:r>
        <w:r>
          <w:rPr>
            <w:noProof/>
            <w:lang w:val="ta"/>
          </w:rPr>
          <w:t>2</w:t>
        </w:r>
        <w:r>
          <w:rPr>
            <w:noProof/>
            <w:lang w:val="t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val="t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1C301B74" w:rsidR="00916AF7" w:rsidRDefault="00F41EB5" w:rsidP="00127DAD">
    <w:pPr>
      <w:pStyle w:val="Header"/>
    </w:pPr>
    <w:r>
      <w:rPr>
        <w:noProof/>
      </w:rPr>
      <mc:AlternateContent>
        <mc:Choice Requires="wps">
          <w:drawing>
            <wp:anchor distT="45720" distB="45720" distL="114300" distR="114300" simplePos="0" relativeHeight="251660291" behindDoc="0" locked="0" layoutInCell="1" allowOverlap="1" wp14:anchorId="7C99E2D1" wp14:editId="082FC324">
              <wp:simplePos x="0" y="0"/>
              <wp:positionH relativeFrom="column">
                <wp:posOffset>5879262</wp:posOffset>
              </wp:positionH>
              <wp:positionV relativeFrom="paragraph">
                <wp:posOffset>-139623</wp:posOffset>
              </wp:positionV>
              <wp:extent cx="5702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404620"/>
                      </a:xfrm>
                      <a:prstGeom prst="rect">
                        <a:avLst/>
                      </a:prstGeom>
                      <a:noFill/>
                      <a:ln w="9525">
                        <a:noFill/>
                        <a:miter lim="800000"/>
                        <a:headEnd/>
                        <a:tailEnd/>
                      </a:ln>
                    </wps:spPr>
                    <wps:txbx>
                      <w:txbxContent>
                        <w:p w14:paraId="63954AFB" w14:textId="47DFEB93" w:rsidR="00F41EB5" w:rsidRPr="00F41EB5" w:rsidRDefault="00F41EB5">
                          <w:pPr>
                            <w:rPr>
                              <w:rFonts w:hint="eastAsia"/>
                              <w:color w:val="404040" w:themeColor="text1" w:themeTint="BF"/>
                              <w:sz w:val="18"/>
                              <w:szCs w:val="18"/>
                            </w:rPr>
                          </w:pPr>
                          <w:r w:rsidRPr="00F41EB5">
                            <w:rPr>
                              <w:color w:val="404040" w:themeColor="text1" w:themeTint="BF"/>
                              <w:sz w:val="18"/>
                              <w:szCs w:val="18"/>
                              <w:lang w:eastAsia="zh-CN"/>
                            </w:rPr>
                            <w:t>T</w:t>
                          </w:r>
                          <w:r w:rsidRPr="00F41EB5">
                            <w:rPr>
                              <w:rFonts w:hint="eastAsia"/>
                              <w:color w:val="404040" w:themeColor="text1" w:themeTint="BF"/>
                              <w:sz w:val="18"/>
                              <w:szCs w:val="18"/>
                              <w:lang w:eastAsia="zh-CN"/>
                            </w:rPr>
                            <w:t xml:space="preserve">amil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9E2D1" id="_x0000_t202" coordsize="21600,21600" o:spt="202" path="m,l,21600r21600,l21600,xe">
              <v:stroke joinstyle="miter"/>
              <v:path gradientshapeok="t" o:connecttype="rect"/>
            </v:shapetype>
            <v:shape id="Text Box 2" o:spid="_x0000_s1026" type="#_x0000_t202" style="position:absolute;margin-left:462.95pt;margin-top:-11pt;width:44.9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v+QEAAM0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XFyWs/cUERSazsv5xSxPpYDqOdv5ED9JNCxtau5pqBkd9g8hpm6ger6SillcK63zYLVlfc2v&#10;F7NFTjiLGBXJd1qZml+V6RudkEh+tE1OjqD0uKcC2h5ZJ6Ij5ThsBrqY2G+wORB/j6O/6D3QpkP/&#10;m7OevFXz8GsHXnKmP1vS8Ho6nycz5sN8cUmMmT+PbM4jYAVB1TxyNm7vYjZw4hrcLWm9VlmGl06O&#10;vZJnsjpHfydTnp/zrZdXuPoDAAD//wMAUEsDBBQABgAIAAAAIQA5Pwrl4AAAAAwBAAAPAAAAZHJz&#10;L2Rvd25yZXYueG1sTI/LTsMwEEX3SPyDNUjsWruWSkkap6pQW5ZAiVi78TSJiB+K3TT8PdMV7GY0&#10;R3fOLTaT7dmIQ+y8U7CYC2Doam861yioPvezZ2AxaWd07x0q+MEIm/L+rtC58Vf3geMxNYxCXMy1&#10;gjalkHMe6xatjnMf0NHt7AerE61Dw82grxRuey6FeOJWd44+tDrgS4v19/FiFYQUDqvX4e19u9uP&#10;ovo6VLJrdko9PkzbNbCEU/qD4aZP6lCS08lfnImsV5DJZUaogpmUVOpGiMVyBexEU5ZJ4GXB/5co&#10;fwEAAP//AwBQSwECLQAUAAYACAAAACEAtoM4kv4AAADhAQAAEwAAAAAAAAAAAAAAAAAAAAAAW0Nv&#10;bnRlbnRfVHlwZXNdLnhtbFBLAQItABQABgAIAAAAIQA4/SH/1gAAAJQBAAALAAAAAAAAAAAAAAAA&#10;AC8BAABfcmVscy8ucmVsc1BLAQItABQABgAIAAAAIQDe/mjv+QEAAM0DAAAOAAAAAAAAAAAAAAAA&#10;AC4CAABkcnMvZTJvRG9jLnhtbFBLAQItABQABgAIAAAAIQA5Pwrl4AAAAAwBAAAPAAAAAAAAAAAA&#10;AAAAAFMEAABkcnMvZG93bnJldi54bWxQSwUGAAAAAAQABADzAAAAYAUAAAAA&#10;" filled="f" stroked="f">
              <v:textbox style="mso-fit-shape-to-text:t">
                <w:txbxContent>
                  <w:p w14:paraId="63954AFB" w14:textId="47DFEB93" w:rsidR="00F41EB5" w:rsidRPr="00F41EB5" w:rsidRDefault="00F41EB5">
                    <w:pPr>
                      <w:rPr>
                        <w:rFonts w:hint="eastAsia"/>
                        <w:color w:val="404040" w:themeColor="text1" w:themeTint="BF"/>
                        <w:sz w:val="18"/>
                        <w:szCs w:val="18"/>
                      </w:rPr>
                    </w:pPr>
                    <w:r w:rsidRPr="00F41EB5">
                      <w:rPr>
                        <w:color w:val="404040" w:themeColor="text1" w:themeTint="BF"/>
                        <w:sz w:val="18"/>
                        <w:szCs w:val="18"/>
                        <w:lang w:eastAsia="zh-CN"/>
                      </w:rPr>
                      <w:t>T</w:t>
                    </w:r>
                    <w:r w:rsidRPr="00F41EB5">
                      <w:rPr>
                        <w:rFonts w:hint="eastAsia"/>
                        <w:color w:val="404040" w:themeColor="text1" w:themeTint="BF"/>
                        <w:sz w:val="18"/>
                        <w:szCs w:val="18"/>
                        <w:lang w:eastAsia="zh-CN"/>
                      </w:rPr>
                      <w:t xml:space="preserve">amil </w:t>
                    </w:r>
                  </w:p>
                </w:txbxContent>
              </v:textbox>
              <w10:wrap type="square"/>
            </v:shape>
          </w:pict>
        </mc:Fallback>
      </mc:AlternateContent>
    </w:r>
    <w:r w:rsidR="00DD5BF0">
      <w:rPr>
        <w:noProof/>
        <w:lang w:val="t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12F4A948" w:rsidR="00037E99" w:rsidRDefault="00037E99" w:rsidP="00127DAD">
    <w:pPr>
      <w:pStyle w:val="Header"/>
    </w:pPr>
    <w:r>
      <w:rPr>
        <w:noProof/>
        <w:lang w:val="ta"/>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5BB"/>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47E9"/>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1EB5"/>
    <w:rsid w:val="00F424CC"/>
    <w:rsid w:val="00F45D04"/>
    <w:rsid w:val="00F50F29"/>
    <w:rsid w:val="00F51047"/>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ecu.edu.au/degrees/aboriginal-and-or-torres-strait-islanders"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school-circular/circular-index.tisc" TargetMode="External"/><Relationship Id="rId50" Type="http://schemas.openxmlformats.org/officeDocument/2006/relationships/hyperlink" Target="https://www.tisc.edu.au/static/resource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murdoch.edu.au/study/pathways-to-uni/enabling-pathways/experience-based-entry/media-portfolio" TargetMode="External"/><Relationship Id="rId37" Type="http://schemas.openxmlformats.org/officeDocument/2006/relationships/hyperlink" Target="https://www.uwa.edu.au/study/indigenous-study" TargetMode="Externa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stat.tisc"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ecu.edu.au/future-students/course-entry/creative-arts-portfolio-entry" TargetMode="External"/><Relationship Id="rId44" Type="http://schemas.openxmlformats.org/officeDocument/2006/relationships/hyperlink" Target="https://www.tisc.edu.au/static/guide/university-admissions-index.tisc"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study.curtin.edu.au/applying/pathways/portfolio-entry" TargetMode="External"/><Relationship Id="rId35" Type="http://schemas.openxmlformats.org/officeDocument/2006/relationships/hyperlink" Target="https://www.murdoch.edu.au/course/Enabling/N1077"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statistics/scaling/scaling-index.tisc"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karda.curtin.edu.au/study/enabling-courses" TargetMode="External"/><Relationship Id="rId38" Type="http://schemas.openxmlformats.org/officeDocument/2006/relationships/hyperlink" Target="https://www.bigpicture.org.au/what-international-big-picture-learning-credential" TargetMode="External"/><Relationship Id="rId46" Type="http://schemas.openxmlformats.org/officeDocument/2006/relationships/hyperlink" Target="https://www.tisc.edu.au/static/guide/waufp.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notredame.edu.au/students/support/aboriginal-and-torres-strait-islander-support" TargetMode="External"/><Relationship Id="rId49" Type="http://schemas.openxmlformats.org/officeDocument/2006/relationships/hyperlink" Target="https://www.tisc.edu.au/static/guide/atar-about.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172292"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172292"/>
    <w:rsid w:val="002965BB"/>
    <w:rsid w:val="003F43C2"/>
    <w:rsid w:val="00462B0A"/>
    <w:rsid w:val="004C60B5"/>
    <w:rsid w:val="004E331B"/>
    <w:rsid w:val="00544DDE"/>
    <w:rsid w:val="00582EC3"/>
    <w:rsid w:val="00716BF8"/>
    <w:rsid w:val="007B717F"/>
    <w:rsid w:val="00991E2F"/>
    <w:rsid w:val="009E3A0A"/>
    <w:rsid w:val="00B732FB"/>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C55157D1-55C3-47C0-AFAD-CFC0B681650C}"/>
</file>

<file path=customXml/itemProps4.xml><?xml version="1.0" encoding="utf-8"?>
<ds:datastoreItem xmlns:ds="http://schemas.openxmlformats.org/officeDocument/2006/customXml" ds:itemID="{32C54A8E-27D6-456E-BF80-4C5711513C85}">
  <ds:schemaRefs>
    <ds:schemaRef ds:uri="http://schemas.microsoft.com/office/2006/documentManagement/types"/>
    <ds:schemaRef ds:uri="http://purl.org/dc/terms/"/>
    <ds:schemaRef ds:uri="d6520638-0d4b-4f10-b9f9-cc818b5e466b"/>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10944</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77</cp:revision>
  <cp:lastPrinted>2025-04-09T06:21:00Z</cp:lastPrinted>
  <dcterms:created xsi:type="dcterms:W3CDTF">2024-04-19T03:01:00Z</dcterms:created>
  <dcterms:modified xsi:type="dcterms:W3CDTF">2025-04-09T06:22:00Z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