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id"/>
        </w:rPr>
        <w:t>Informasi jalur karir untuk remaja penyandang disabilitas</w:t>
      </w:r>
    </w:p>
    <w:p w14:paraId="62D7A0A1" w14:textId="5FD4F97A" w:rsidR="00D85416" w:rsidRPr="00D85416" w:rsidRDefault="00D85416" w:rsidP="003D1C51">
      <w:pPr>
        <w:pStyle w:val="Title"/>
        <w:rPr>
          <w:color w:val="auto"/>
          <w:sz w:val="36"/>
          <w:szCs w:val="36"/>
        </w:rPr>
      </w:pPr>
      <w:r>
        <w:rPr>
          <w:bCs/>
          <w:color w:val="auto"/>
          <w:sz w:val="36"/>
          <w:szCs w:val="36"/>
          <w:lang w:val="id"/>
        </w:rPr>
        <w:t>Informasi untuk orang tua dan pengasuh</w:t>
      </w:r>
    </w:p>
    <w:p w14:paraId="14DB6264" w14:textId="06405F7E" w:rsidR="002278A9" w:rsidRDefault="009E1946" w:rsidP="002278A9">
      <w:pPr>
        <w:rPr>
          <w:rFonts w:ascii="Calibri" w:hAnsi="Calibri" w:cs="Calibri"/>
        </w:rPr>
      </w:pPr>
      <w:bookmarkStart w:id="2" w:name="_Toc88224274"/>
      <w:bookmarkEnd w:id="0"/>
      <w:bookmarkEnd w:id="1"/>
      <w:r>
        <w:rPr>
          <w:lang w:val="id"/>
        </w:rPr>
        <w:t>Semua anak didorong untuk membangun aspirasi mereka, mengikuti pembelajaran yang menantang, dan mengembangkan rencana jalur karier agar dapat bertransisi dengan sukses ke pendidikan dan pelatihan lanjutan dan/atau pekerjaan yang bermakna.</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id"/>
        </w:rPr>
        <w:t>Satu dari enam warga Australia menyandang disabilitas. Seperti semua karyawan, penyandang disabilitas memiliki berbagai keterampilan, kemampuan, dan kualifikasi yang dibawa ke tempat kerja dan bisa dipakai di berbagai jenis pekerjaan.</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id"/>
        </w:rPr>
        <w:t>Memiliki pekerjaan dapat memperluas jaringan sosial, meningkatkan standar hidup, dan meningkatkan kemandirian finansial serta harga diri.</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id"/>
        </w:rPr>
        <w:t>Universitas, TAFE, dan penyedia pelatihan lainnya menawarkan berbagai kualifikasi beserta dukungan yang disesuaikan dengan kebutuhan individu, untuk memastikan akses dan inklusi.</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id"/>
              </w:rPr>
              <w:t>Sumber daya</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id"/>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id"/>
              </w:rPr>
              <w:t>myfuture adalah Layanan Informasi Karier Nasional Australia. Layanan ini menyediakan sumber daya daring untuk menjajaki jalur karier serta berbagai alat untuk mengembangkan pemahaman diri dalam membuat keputusan karier. Layanan ini mendorong anak muda untuk mempertimbangkan bagaimana minat, nilai, dan keterampilan mereka berkaitan dengan berbagai jalur karier.</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id"/>
              </w:rPr>
              <w:t>Informasi untuk orang tua dan pengasuh</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id"/>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id"/>
              </w:rPr>
              <w:t>Your Career</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id"/>
              </w:rPr>
              <w:t>Situs web Your Career menyediakan informasi yang jelas dan sederhana untuk membantu orang dari segala usia dan latar belakang merencanakan serta mengelola perjalanan karier mereka.</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id"/>
              </w:rPr>
              <w:t>Mengakses dukungan dan informasi bagi anak muda penyandang disabilitas terkait pilihan kerja, studi, dan pelatihan setelah selesai sekolah.</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id"/>
                </w:rPr>
                <w:t>https://www.yourcareer.gov.au/resources/diverse-roles</w:t>
              </w:r>
            </w:hyperlink>
            <w:r>
              <w:rPr>
                <w:lang w:val="id"/>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id"/>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id"/>
              </w:rPr>
              <w:t>Layanan ini membantu remaja penyandang autis untuk mengendalikan masa depan mereka dan mempersiapkan diri masuk kehidupan kerja.</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id"/>
                </w:rPr>
                <w:t>https://mywayemployability.au/</w:t>
              </w:r>
            </w:hyperlink>
            <w:r>
              <w:rPr>
                <w:lang w:val="id"/>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id"/>
              </w:rPr>
              <w:lastRenderedPageBreak/>
              <w:t>Disability Gateway</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id"/>
              </w:rPr>
              <w:t xml:space="preserve">Disability Gateway Pemerintah Australia membantu penyandang disabilitas, keluarga mereka, dan para pengasuh mencari informasi tepercaya serta terhubung dengan layanan di wilayah tempat tinggal mereka.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id"/>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id"/>
              </w:rPr>
              <w:t>Disability Employment Services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id"/>
              </w:rPr>
              <w:t>Job Access</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id"/>
              </w:rPr>
              <w:t>DES Providers</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Layanan Ketenagakerjaan Penyandang Disabilitas (Disability Employment Services (DES)) adalah layanan ketenagakerjaan Pemerintah Australia yang menyediakan bantuan dan dukungan kerja untuk membantu penyandang disabilitas mendapatkan dan mempertahankan suatu pekerjaan.</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Job Access merupakan pusat informasi nasional mengenai tempat kerja dan ketenagakerjaan bagi para penyandang disabilitas, yang menyatukan informasi dan sumber daya yang dapat ‘mendorong ketenagakerjaan bagi penyandang disabilitas’.</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id"/>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id"/>
              </w:rPr>
              <w:t>Cari penyedia:</w:t>
            </w:r>
            <w:hyperlink r:id="rId17" w:history="1">
              <w:r>
                <w:rPr>
                  <w:rStyle w:val="Hyperlink"/>
                  <w:szCs w:val="22"/>
                  <w:lang w:val="id"/>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id"/>
              </w:rPr>
              <w:t>National Disability Insurance Scheme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id"/>
              </w:rPr>
              <w:t>Skema Asuransi Disabilitas Nasional (National Disability Insurance Scheme (NDIS)) mengambil pendekatan seumur hidup, berinvestasi sejak dini pada penyandang disabilitas dan anak dengan keterlambatan perkembangan untuk meningkatkan capaian mereka di kemudian hari.</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id"/>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id"/>
              </w:rPr>
              <w:t>NDIS</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id"/>
              </w:rPr>
              <w:t>School Leaver Employment Supports</w:t>
            </w:r>
          </w:p>
          <w:p w14:paraId="2933AA6E" w14:textId="0771F84C" w:rsidR="00047801" w:rsidRDefault="00047801" w:rsidP="00047801">
            <w:pPr>
              <w:widowControl w:val="0"/>
              <w:autoSpaceDE w:val="0"/>
              <w:autoSpaceDN w:val="0"/>
              <w:rPr>
                <w:rFonts w:eastAsia="Arial"/>
                <w:szCs w:val="22"/>
              </w:rPr>
            </w:pPr>
            <w:r>
              <w:rPr>
                <w:rFonts w:eastAsia="Arial"/>
                <w:szCs w:val="22"/>
                <w:lang w:val="id"/>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Memasukkan Dukungan Pekerjaan bagi Lulusan SMA (School Leaver Employment Supports (SLES)) dalam rencana NDIS akan membantu peserta berpindah dari sekolah ke dunia kerja dan tersedia pada tahun-tahun terakhir sekolah dan langsung setelah lulus sekolah.</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Penyedia yang memberikan dukungan pekerjaan bagi lulusan sekolah untuk membantu mereka mempersiapkan, mencari, dan memperoleh pekerjaan. Mereka menyediakan kegiatan pengembangan kapasitas yang bermakna yang disesuaikan untuk perorangan sehingga setiap anak dapat mencapai sasaran pekerjaan mereka.</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id"/>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id"/>
              </w:rPr>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id"/>
              </w:rPr>
              <w:t>Mencari, mempertahankan dan mengganti pekerjaan</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id"/>
              </w:rPr>
              <w:t>Termasuk informasi tentang:</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memikirkan dan mendiskusikan pekerjaan</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lulus sekolah</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persiapkan diri untuk kerja</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kerja sukarela.</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id"/>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A1B7" w14:textId="77777777" w:rsidR="00200DF4" w:rsidRDefault="00200DF4" w:rsidP="00127DAD">
      <w:r>
        <w:separator/>
      </w:r>
    </w:p>
    <w:p w14:paraId="1E73B0BD" w14:textId="77777777" w:rsidR="00200DF4" w:rsidRDefault="00200DF4"/>
  </w:endnote>
  <w:endnote w:type="continuationSeparator" w:id="0">
    <w:p w14:paraId="35E3DD60" w14:textId="77777777" w:rsidR="00200DF4" w:rsidRDefault="00200DF4" w:rsidP="00127DAD">
      <w:r>
        <w:continuationSeparator/>
      </w:r>
    </w:p>
    <w:p w14:paraId="01B069EB" w14:textId="77777777" w:rsidR="00200DF4" w:rsidRDefault="00200DF4"/>
  </w:endnote>
  <w:endnote w:type="continuationNotice" w:id="1">
    <w:p w14:paraId="02A32F21" w14:textId="77777777" w:rsidR="00200DF4" w:rsidRDefault="0020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id"/>
      </w:rPr>
      <w:tab/>
    </w:r>
    <w:r>
      <w:rPr>
        <w:lang w:val="id"/>
      </w:rPr>
      <w:tab/>
    </w:r>
    <w:r>
      <w:rPr>
        <w:sz w:val="18"/>
        <w:szCs w:val="14"/>
        <w:lang w:val="id"/>
      </w:rPr>
      <w:t>D26/0249538</w:t>
    </w:r>
  </w:p>
  <w:p w14:paraId="2751E260" w14:textId="66C9C0F4" w:rsidR="000337D4" w:rsidRPr="00323F4C" w:rsidRDefault="000337D4" w:rsidP="00E66942">
    <w:pPr>
      <w:pStyle w:val="Footer"/>
      <w:rPr>
        <w:sz w:val="18"/>
        <w:szCs w:val="14"/>
      </w:rPr>
    </w:pPr>
    <w:r>
      <w:rPr>
        <w:sz w:val="18"/>
        <w:szCs w:val="14"/>
        <w:lang w:val="id"/>
      </w:rPr>
      <w:tab/>
    </w:r>
    <w:r>
      <w:rPr>
        <w:sz w:val="18"/>
        <w:szCs w:val="14"/>
        <w:lang w:val="id"/>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id"/>
      </w:rPr>
      <w:ptab w:relativeTo="margin" w:alignment="right" w:leader="none"/>
    </w:r>
    <w:r>
      <w:rPr>
        <w:sz w:val="18"/>
        <w:szCs w:val="14"/>
        <w:lang w:val="id"/>
      </w:rPr>
      <w:t>D26/0249538</w:t>
    </w:r>
  </w:p>
  <w:p w14:paraId="163CF8A8" w14:textId="41EA3796" w:rsidR="00EF2296" w:rsidRPr="00323F4C" w:rsidRDefault="00EF2296" w:rsidP="00EF2296">
    <w:pPr>
      <w:pStyle w:val="Footer"/>
      <w:ind w:right="510"/>
      <w:jc w:val="right"/>
      <w:rPr>
        <w:sz w:val="18"/>
        <w:szCs w:val="14"/>
      </w:rPr>
    </w:pPr>
    <w:r>
      <w:rPr>
        <w:sz w:val="18"/>
        <w:szCs w:val="14"/>
        <w:lang w:val="id"/>
      </w:rPr>
      <w:tab/>
    </w:r>
    <w:r>
      <w:rPr>
        <w:sz w:val="18"/>
        <w:szCs w:val="14"/>
        <w:lang w:val="id"/>
      </w:rPr>
      <w:tab/>
    </w:r>
    <w:r>
      <w:rPr>
        <w:sz w:val="18"/>
        <w:szCs w:val="14"/>
        <w:lang w:val="id"/>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B8F2" w14:textId="77777777" w:rsidR="00200DF4" w:rsidRDefault="00200DF4" w:rsidP="00127DAD">
      <w:r>
        <w:separator/>
      </w:r>
    </w:p>
    <w:p w14:paraId="1B9C1A78" w14:textId="77777777" w:rsidR="00200DF4" w:rsidRDefault="00200DF4"/>
  </w:footnote>
  <w:footnote w:type="continuationSeparator" w:id="0">
    <w:p w14:paraId="5A808CB4" w14:textId="77777777" w:rsidR="00200DF4" w:rsidRDefault="00200DF4" w:rsidP="00127DAD">
      <w:r>
        <w:continuationSeparator/>
      </w:r>
    </w:p>
    <w:p w14:paraId="10A2BD9E" w14:textId="77777777" w:rsidR="00200DF4" w:rsidRDefault="00200DF4"/>
  </w:footnote>
  <w:footnote w:type="continuationNotice" w:id="1">
    <w:p w14:paraId="19C31C35" w14:textId="77777777" w:rsidR="00200DF4" w:rsidRDefault="0020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id"/>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2C62B59C" w:rsidR="009D6534" w:rsidRDefault="00185CEF">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6F202F97" wp14:editId="0E636D98">
              <wp:simplePos x="0" y="0"/>
              <wp:positionH relativeFrom="column">
                <wp:posOffset>5817996</wp:posOffset>
              </wp:positionH>
              <wp:positionV relativeFrom="paragraph">
                <wp:posOffset>-302030</wp:posOffset>
              </wp:positionV>
              <wp:extent cx="76009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40030"/>
                      </a:xfrm>
                      <a:prstGeom prst="rect">
                        <a:avLst/>
                      </a:prstGeom>
                      <a:noFill/>
                      <a:ln w="9525">
                        <a:noFill/>
                        <a:miter lim="800000"/>
                        <a:headEnd/>
                        <a:tailEnd/>
                      </a:ln>
                    </wps:spPr>
                    <wps:txbx>
                      <w:txbxContent>
                        <w:p w14:paraId="40CEA718" w14:textId="77777777" w:rsidR="00185CEF" w:rsidRDefault="00185CEF" w:rsidP="00185CEF">
                          <w:pPr>
                            <w:rPr>
                              <w:color w:val="767171" w:themeColor="background2" w:themeShade="80"/>
                              <w:sz w:val="16"/>
                              <w:szCs w:val="14"/>
                            </w:rPr>
                          </w:pPr>
                          <w:r>
                            <w:rPr>
                              <w:color w:val="767171" w:themeColor="background2" w:themeShade="80"/>
                              <w:sz w:val="16"/>
                              <w:szCs w:val="14"/>
                            </w:rPr>
                            <w:t>Indonesian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02F97" id="_x0000_t202" coordsize="21600,21600" o:spt="202" path="m,l,21600r21600,l21600,xe">
              <v:stroke joinstyle="miter"/>
              <v:path gradientshapeok="t" o:connecttype="rect"/>
            </v:shapetype>
            <v:shape id="Text Box 1" o:spid="_x0000_s1026" type="#_x0000_t202" style="position:absolute;margin-left:458.1pt;margin-top:-23.8pt;width:59.8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" filled="f" stroked="f">
              <v:textbox>
                <w:txbxContent>
                  <w:p w14:paraId="40CEA718" w14:textId="77777777" w:rsidR="00185CEF" w:rsidRDefault="00185CEF" w:rsidP="00185CEF">
                    <w:pPr>
                      <w:rPr>
                        <w:color w:val="767171" w:themeColor="background2" w:themeShade="80"/>
                        <w:sz w:val="16"/>
                        <w:szCs w:val="14"/>
                      </w:rPr>
                    </w:pPr>
                    <w:r>
                      <w:rPr>
                        <w:color w:val="767171" w:themeColor="background2" w:themeShade="80"/>
                        <w:sz w:val="16"/>
                        <w:szCs w:val="14"/>
                      </w:rPr>
                      <w:t>Indonesian</w:t>
                    </w:r>
                  </w:p>
                </w:txbxContent>
              </v:textbox>
              <w10:wrap type="square"/>
            </v:shape>
          </w:pict>
        </mc:Fallback>
      </mc:AlternateContent>
    </w:r>
    <w:r w:rsidR="00725DB7">
      <w:rPr>
        <w:noProof/>
        <w:lang w:val="id"/>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id"/>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3FE7"/>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85CEF"/>
    <w:rsid w:val="001A5103"/>
    <w:rsid w:val="001B238E"/>
    <w:rsid w:val="001B5FD2"/>
    <w:rsid w:val="001C5734"/>
    <w:rsid w:val="001D4434"/>
    <w:rsid w:val="001D492C"/>
    <w:rsid w:val="001E1668"/>
    <w:rsid w:val="001E62CB"/>
    <w:rsid w:val="001F3438"/>
    <w:rsid w:val="001F4517"/>
    <w:rsid w:val="001F63E2"/>
    <w:rsid w:val="00200DF4"/>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E2457F92-D2DA-40BE-BE61-357519B7653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702</Words>
  <Characters>4007</Characters>
  <Application>Microsoft Office Word</Application>
  <DocSecurity>0</DocSecurity>
  <Lines>33</Lines>
  <Paragraphs>9</Paragraphs>
  <ScaleCrop>false</ScaleCrop>
  <Company>Department of Education Western Australia</Company>
  <LinksUpToDate>false</LinksUpToDate>
  <CharactersWithSpaces>4700</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53</cp:revision>
  <cp:lastPrinted>2023-02-25T08:01:00Z</cp:lastPrinted>
  <dcterms:created xsi:type="dcterms:W3CDTF">2025-11-04T15:40:00Z</dcterms:created>
  <dcterms:modified xsi:type="dcterms:W3CDTF">2026-04-13T10:51:00Z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