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rPr>
          <w:bCs/>
        </w:rPr>
      </w:pPr>
      <w:bookmarkStart w:id="0" w:name="_Hlk103166844"/>
      <w:bookmarkStart w:id="1" w:name="_Toc84334888"/>
      <w:r>
        <w:rPr>
          <w:bCs/>
          <w:lang w:val="fil"/>
        </w:rPr>
        <w:t>Pagpapasya para sa Year 11 at 12</w:t>
      </w:r>
    </w:p>
    <w:p w14:paraId="0D8B47A9" w14:textId="34D8B4A9" w:rsidR="00F926A5" w:rsidRPr="00695B0E" w:rsidRDefault="00F926A5" w:rsidP="00733C11">
      <w:pPr>
        <w:pStyle w:val="Title"/>
        <w:rPr>
          <w:bCs/>
          <w:sz w:val="44"/>
          <w:szCs w:val="44"/>
        </w:rPr>
      </w:pPr>
      <w:r w:rsidRPr="00695B0E">
        <w:rPr>
          <w:bCs/>
          <w:color w:val="auto"/>
          <w:sz w:val="32"/>
          <w:szCs w:val="32"/>
          <w:lang w:val="fil"/>
        </w:rPr>
        <w:t>Impormasyon ara sa mga magulang at tagapag-alaga</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rPr>
      </w:pPr>
      <w:r>
        <w:rPr>
          <w:rFonts w:eastAsia="Arial"/>
          <w:szCs w:val="22"/>
          <w:lang w:val="fil"/>
        </w:rPr>
        <w:t>Maaaring ang estudyante ay interesadong mag-aral sa unibersidad, magkaroon ng partikular na karera sa kanilang isip na kabibilangan ng karagdagang edukasyon at pagsasanay, o nagbabalak magtrabaho makaraang matapos ng pag-aaral. May malawak na hanay ng mga opsyon para sa mga estudyante sa Year 11 at 12 na nagbibigay ng maraming landasin patungo sa unibersidad, pagsasanay at pagtatrabaho.</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695B0E" w:rsidRDefault="00F926A5" w:rsidP="00A10BB8">
      <w:pPr>
        <w:widowControl w:val="0"/>
        <w:autoSpaceDE w:val="0"/>
        <w:autoSpaceDN w:val="0"/>
        <w:rPr>
          <w:rFonts w:eastAsia="Arial"/>
          <w:b/>
          <w:color w:val="592C82"/>
          <w:sz w:val="24"/>
        </w:rPr>
      </w:pPr>
      <w:r w:rsidRPr="00695B0E">
        <w:rPr>
          <w:rFonts w:eastAsia="Arial"/>
          <w:b/>
          <w:bCs/>
          <w:color w:val="592C82"/>
          <w:sz w:val="24"/>
          <w:lang w:val="fil"/>
        </w:rPr>
        <w:t>Mga opsyon sa kurso at programa para sa mga estudyante sa Year 11 at 12</w:t>
      </w:r>
    </w:p>
    <w:p w14:paraId="0EF80CEA" w14:textId="77777777" w:rsidR="005007C0" w:rsidRDefault="005007C0" w:rsidP="005007C0"/>
    <w:tbl>
      <w:tblPr>
        <w:tblStyle w:val="DOETable1"/>
        <w:tblW w:w="9069" w:type="dxa"/>
        <w:tblLook w:val="04A0" w:firstRow="1" w:lastRow="0" w:firstColumn="1" w:lastColumn="0" w:noHBand="0" w:noVBand="1"/>
      </w:tblPr>
      <w:tblGrid>
        <w:gridCol w:w="1891"/>
        <w:gridCol w:w="7178"/>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r>
              <w:rPr>
                <w:lang w:val="fil"/>
              </w:rPr>
              <w:t>Mga opsyon</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rPr>
                <w:lang w:val="fil"/>
              </w:rPr>
              <w:t>Paglalarawan</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rPr>
                <w:lang w:val="fil"/>
              </w:rPr>
              <w:t>Mga kursong ATAR (ATAR courses)</w:t>
            </w:r>
          </w:p>
        </w:tc>
        <w:tc>
          <w:tcPr>
            <w:tcW w:w="0" w:type="dxa"/>
            <w:vAlign w:val="center"/>
            <w:hideMark/>
          </w:tcPr>
          <w:p w14:paraId="6B9EC067" w14:textId="6019E3FE" w:rsidR="00DB2889" w:rsidRPr="003257AC" w:rsidRDefault="00F926A5" w:rsidP="005E7D74">
            <w:pPr>
              <w:cnfStyle w:val="000000000000" w:firstRow="0" w:lastRow="0" w:firstColumn="0" w:lastColumn="0" w:oddVBand="0" w:evenVBand="0" w:oddHBand="0" w:evenHBand="0" w:firstRowFirstColumn="0" w:firstRowLastColumn="0" w:lastRowFirstColumn="0" w:lastRowLastColumn="0"/>
              <w:rPr>
                <w:spacing w:val="-2"/>
              </w:rPr>
            </w:pPr>
            <w:r>
              <w:rPr>
                <w:lang w:val="fil"/>
              </w:rPr>
              <w:t>Ang mga kurso ng Australian Tertiary Admissions Rank (ATAR) kraniwan ay nakapokus sa pag-aaral na akademiko. Ang mga estudyanteng gustong makatamo ng ATAR ay kailangang magkumpleto ng minimum ng 4 na mga kursong ATAR sa Year 12. Bagama't karaniwang isinasagawa para maka-access sa pag-aaral sa unibersidad, ang mga kursong ATAR ay napakagaling na paghahanda rin para sa isang hanay ng mga landasin matapos ang pag-aaral, kabilang ang vocational na pagsasanay.</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rPr>
                <w:lang w:val="fil"/>
              </w:rPr>
              <w:t>Mga pangkalahatang kurso (General courses)</w:t>
            </w:r>
          </w:p>
        </w:tc>
        <w:tc>
          <w:tcPr>
            <w:tcW w:w="0" w:type="dxa"/>
            <w:vAlign w:val="center"/>
            <w:hideMark/>
          </w:tcPr>
          <w:p w14:paraId="1A064C8E" w14:textId="520756AC"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fil"/>
              </w:rPr>
              <w:t>Ang mga kursong ito, unang-una, ay inilaan para sa mga estudyante na karaniwan ay gustong pumasok sa karagdagang vocational na pagsasanay o magtrabaho matapos ang pag-aaral. Ang mga pangkalahatang kurso ay walang itinakdang panlabas na eksaminasyon tulad ng mga kursong ATAR, ngunit mayroong isang sapilitang itinakdang panlabas na gawain sa Year 12 na katumbas ng 15% ng pangkalahatang pagtasa sa estudyante. Maaaring gamitin ng mga estudyante ang ilang pangkalahatang kurso bilang bahagi ng isang alternatibo, o enabling, na landasin para makapasok sa ilang mga kurso sa unibersidad.</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rPr>
                <w:lang w:val="fil"/>
              </w:rPr>
              <w:t>Mga pambatayang kurso (Foundation courses)</w:t>
            </w:r>
          </w:p>
        </w:tc>
        <w:tc>
          <w:tcPr>
            <w:tcW w:w="0" w:type="dxa"/>
            <w:vAlign w:val="center"/>
            <w:hideMark/>
          </w:tcPr>
          <w:p w14:paraId="639E94E6" w14:textId="0A3A1D83" w:rsidR="00F926A5" w:rsidRPr="00F926A5" w:rsidRDefault="00F926A5" w:rsidP="005E7D74">
            <w:pPr>
              <w:cnfStyle w:val="000000000000" w:firstRow="0" w:lastRow="0" w:firstColumn="0" w:lastColumn="0" w:oddVBand="0" w:evenVBand="0" w:oddHBand="0" w:evenHBand="0" w:firstRowFirstColumn="0" w:firstRowLastColumn="0" w:lastRowFirstColumn="0" w:lastRowLastColumn="0"/>
            </w:pPr>
            <w:r>
              <w:rPr>
                <w:lang w:val="fil"/>
              </w:rPr>
              <w:t>Idinisenyo para sa mga estudyante na kailangan ng suporta para makamit ang mga minimum na istandard para sa pagbasa’t pagsulat (literacy) at o karunungang bumilang at magtuos (numeracy) bago magtapos ng Year 12. Ang mga kursong ito ay nagbibigay ng pagtuon sa mga kasanayan sa pagbasa’t pagsulat at karunungang bumilang at magtuos, praktikal na karanasan na kaugnay sa trabaho at ang oportunidad na magkaroon ng mga kasanayang personal na mahalaga para sa buhay at trabaho.</w:t>
            </w:r>
          </w:p>
          <w:p w14:paraId="194298FA" w14:textId="439B0616" w:rsidR="00DB2889" w:rsidRPr="0045201C" w:rsidRDefault="00F926A5" w:rsidP="005E7D74">
            <w:pPr>
              <w:cnfStyle w:val="000000000000" w:firstRow="0" w:lastRow="0" w:firstColumn="0" w:lastColumn="0" w:oddVBand="0" w:evenVBand="0" w:oddHBand="0" w:evenHBand="0" w:firstRowFirstColumn="0" w:firstRowLastColumn="0" w:lastRowFirstColumn="0" w:lastRowLastColumn="0"/>
            </w:pPr>
            <w:r>
              <w:rPr>
                <w:lang w:val="fil"/>
              </w:rPr>
              <w:t>Ang mga pambatayang kurso ay walang mga eksaminasyon, mayroong isang sapilitang itinakdang gawain sa Year 12 na katumbas ng 15% ng pagtasa ng paaralan para sa kurso.</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rPr>
                <w:lang w:val="fil"/>
              </w:rPr>
              <w:lastRenderedPageBreak/>
              <w:t>Mga kwalipikasyong VET (VET qualifications)</w:t>
            </w:r>
          </w:p>
        </w:tc>
        <w:tc>
          <w:tcPr>
            <w:tcW w:w="0" w:type="dxa"/>
            <w:vAlign w:val="center"/>
            <w:hideMark/>
          </w:tcPr>
          <w:p w14:paraId="2089142A" w14:textId="3D91EB93"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fil"/>
              </w:rPr>
              <w:t>Nagkukumpleto ang mga estudyante ng kinikilala sa bansang kwalipikasyon sa edukasyong vocational at pagsasanay (vocational education and training – VET). Ang VET ay nagpapaunlad sa mga kasanayan at kaalaman, at para sa lugar ng trabaho. Maaaring gamitin ng mga estudyante ang mga kwalipikasyong VET para maibilang tungo sa pagkamit ng Western Australian Certificate of Education (WACE).</w:t>
            </w:r>
          </w:p>
        </w:tc>
      </w:tr>
    </w:tbl>
    <w:p w14:paraId="353A5361" w14:textId="199D8AAE" w:rsidR="00AB4166" w:rsidRDefault="00AB4166"/>
    <w:tbl>
      <w:tblPr>
        <w:tblStyle w:val="DOETable1"/>
        <w:tblW w:w="9069" w:type="dxa"/>
        <w:tblLook w:val="0480" w:firstRow="0" w:lastRow="0" w:firstColumn="1" w:lastColumn="0" w:noHBand="0" w:noVBand="1"/>
      </w:tblPr>
      <w:tblGrid>
        <w:gridCol w:w="1696"/>
        <w:gridCol w:w="7373"/>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Default="00F926A5" w:rsidP="00567D4C">
            <w:r>
              <w:rPr>
                <w:lang w:val="fil"/>
              </w:rPr>
              <w:t>Mga programang pinagtibay (Endorsed programs)</w:t>
            </w:r>
          </w:p>
        </w:tc>
        <w:tc>
          <w:tcPr>
            <w:tcW w:w="7373" w:type="dxa"/>
            <w:vAlign w:val="center"/>
            <w:hideMark/>
          </w:tcPr>
          <w:p w14:paraId="099A0D81" w14:textId="23F7CFD3" w:rsidR="00DB2889" w:rsidRPr="005E7D74"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lang w:val="fil"/>
              </w:rPr>
              <w:t>Ang mga programang pinagtibay ay nag-aalok ng pag-aaral sa pamamagitan ng mga aktibidad na hindi saklaw ng mga kursong WACE o ng programang VET. Ang mga programang pinagtibay ay para sa mga estudyanteng nagnanais sumali sa mga programang inihahatid sa iba’t ibang mga paaralan, lugar ng trabaho, unibersidad at mga organisasyong pangkomunidad.Maaaring ihatid ang mga programang pinagtibay bilang bahagi ng kurikulum ng paaralan o bilang mga aktibidad na extra-curricular at maaaring gamitin ang mga ito ng mga estudyante para maibilang tungo sa pagkamit ng WACE.</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r>
              <w:rPr>
                <w:lang w:val="fil"/>
              </w:rPr>
              <w:t>Mga pangunang kurso (Preliminary courses)</w:t>
            </w:r>
          </w:p>
        </w:tc>
        <w:tc>
          <w:tcPr>
            <w:tcW w:w="7373" w:type="dxa"/>
            <w:vAlign w:val="center"/>
            <w:hideMark/>
          </w:tcPr>
          <w:p w14:paraId="24EC0142" w14:textId="08CA7EB6" w:rsidR="00F926A5" w:rsidRPr="00F926A5" w:rsidRDefault="00F926A5" w:rsidP="005E7D74">
            <w:pPr>
              <w:cnfStyle w:val="000000010000" w:firstRow="0" w:lastRow="0" w:firstColumn="0" w:lastColumn="0" w:oddVBand="0" w:evenVBand="0" w:oddHBand="0" w:evenHBand="1" w:firstRowFirstColumn="0" w:firstRowLastColumn="0" w:lastRowFirstColumn="0" w:lastRowLastColumn="0"/>
            </w:pPr>
            <w:r>
              <w:rPr>
                <w:lang w:val="fil"/>
              </w:rPr>
              <w:t>Idinisenyo ang mga pangunang kurso para sa mga estudyanteng natukoy na may kahirapang matuto at/o may intelektwal na kapansanan. Ang mga kursong ito ay nagbibigay ng mga opsyon para sa mga estudyanteng hindi maka-access sa ATAR, mga nilalaman ng kursong General o Foundation na may pag-aakma at/o mga kondisyon para sa kapansanan.</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rPr>
                <w:lang w:val="fil"/>
              </w:rPr>
              <w:t>Ang mga pangunang unit ay hindi aambag sa pagkamit ng WACE.</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rPr>
        <w:lang w:val="fil"/>
      </w:rPr>
      <w:tab/>
    </w:r>
    <w:r>
      <w:rPr>
        <w:lang w:val="fil"/>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D24/0256674</w:t>
        </w:r>
      </w:sdtContent>
    </w:sdt>
  </w:p>
  <w:p w14:paraId="3CC1B870" w14:textId="0C9C4C4C" w:rsidR="000F6D5A" w:rsidRPr="003E7296" w:rsidRDefault="008626AA" w:rsidP="008626AA">
    <w:pPr>
      <w:pStyle w:val="Footer"/>
      <w:rPr>
        <w:sz w:val="18"/>
        <w:szCs w:val="14"/>
      </w:rPr>
    </w:pPr>
    <w:r>
      <w:rPr>
        <w:sz w:val="18"/>
        <w:szCs w:val="14"/>
        <w:lang w:val="fil"/>
      </w:rPr>
      <w:tab/>
    </w:r>
    <w:r>
      <w:rPr>
        <w:sz w:val="18"/>
        <w:szCs w:val="14"/>
        <w:lang w:val="fil"/>
      </w:rPr>
      <w:fldChar w:fldCharType="begin"/>
    </w:r>
    <w:r>
      <w:rPr>
        <w:sz w:val="18"/>
        <w:szCs w:val="14"/>
        <w:lang w:val="fil"/>
      </w:rPr>
      <w:instrText xml:space="preserve"> PAGE   \* MERGEFORMAT </w:instrText>
    </w:r>
    <w:r>
      <w:rPr>
        <w:sz w:val="18"/>
        <w:szCs w:val="14"/>
        <w:lang w:val="fil"/>
      </w:rPr>
      <w:fldChar w:fldCharType="separate"/>
    </w:r>
    <w:r>
      <w:rPr>
        <w:noProof/>
        <w:sz w:val="18"/>
        <w:szCs w:val="14"/>
        <w:lang w:val="fil"/>
      </w:rPr>
      <w:t>2</w:t>
    </w:r>
    <w:r>
      <w:rPr>
        <w:sz w:val="18"/>
        <w:szCs w:val="14"/>
        <w:lang w:val="fil"/>
      </w:rPr>
      <w:fldChar w:fldCharType="end"/>
    </w:r>
    <w:r>
      <w:rPr>
        <w:sz w:val="18"/>
        <w:szCs w:val="14"/>
        <w:lang w:val="fil"/>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rPr>
        <w:lang w:val="fil"/>
      </w:rPr>
      <w:tab/>
    </w:r>
    <w:r>
      <w:rPr>
        <w:lang w:val="fi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D24/0256674</w:t>
        </w:r>
      </w:sdtContent>
    </w:sdt>
  </w:p>
  <w:p w14:paraId="0E2C46A7" w14:textId="0337A0DE" w:rsidR="00AF71AF" w:rsidRPr="00FE0C8C" w:rsidRDefault="00440775" w:rsidP="001E1668">
    <w:pPr>
      <w:pStyle w:val="Footer"/>
      <w:rPr>
        <w:sz w:val="18"/>
        <w:szCs w:val="14"/>
      </w:rPr>
    </w:pPr>
    <w:r>
      <w:rPr>
        <w:color w:val="auto"/>
        <w:sz w:val="18"/>
        <w:szCs w:val="14"/>
        <w:lang w:val="fil"/>
      </w:rPr>
      <w:tab/>
    </w:r>
    <w:r>
      <w:rPr>
        <w:color w:val="auto"/>
        <w:sz w:val="18"/>
        <w:szCs w:val="14"/>
        <w:lang w:val="fil"/>
      </w:rPr>
      <w:tab/>
    </w:r>
    <w:r>
      <w:rPr>
        <w:sz w:val="18"/>
        <w:szCs w:val="14"/>
        <w:lang w:val="fil"/>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fil"/>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1DF421C" w:rsidR="00916AF7" w:rsidRDefault="003F5291"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800" behindDoc="0" locked="0" layoutInCell="1" allowOverlap="1" wp14:anchorId="28FF1189" wp14:editId="7FC835DC">
              <wp:simplePos x="0" y="0"/>
              <wp:positionH relativeFrom="rightMargin">
                <wp:posOffset>-15875</wp:posOffset>
              </wp:positionH>
              <wp:positionV relativeFrom="paragraph">
                <wp:posOffset>-179705</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5C507B47" w14:textId="77777777" w:rsidR="003F5291" w:rsidRDefault="003F5291" w:rsidP="003F5291">
                          <w:pPr>
                            <w:rPr>
                              <w:color w:val="404040" w:themeColor="text1" w:themeTint="BF"/>
                              <w:sz w:val="18"/>
                              <w:szCs w:val="16"/>
                            </w:rPr>
                          </w:pPr>
                          <w:r>
                            <w:rPr>
                              <w:color w:val="404040" w:themeColor="text1" w:themeTint="BF"/>
                              <w:sz w:val="18"/>
                              <w:szCs w:val="16"/>
                            </w:rPr>
                            <w:t>Tagalog</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F1189" id="_x0000_t202" coordsize="21600,21600" o:spt="202" path="m,l,21600r21600,l21600,xe">
              <v:stroke joinstyle="miter"/>
              <v:path gradientshapeok="t" o:connecttype="rect"/>
            </v:shapetype>
            <v:shape id="Text Box 1" o:spid="_x0000_s1026" type="#_x0000_t202" style="position:absolute;margin-left:-1.25pt;margin-top:-14.15pt;width:48.75pt;height:18.05pt;z-index:25166080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" filled="f" stroked="f">
              <v:textbox style="mso-fit-shape-to-text:t">
                <w:txbxContent>
                  <w:p w14:paraId="5C507B47" w14:textId="77777777" w:rsidR="003F5291" w:rsidRDefault="003F5291" w:rsidP="003F5291">
                    <w:pPr>
                      <w:rPr>
                        <w:color w:val="404040" w:themeColor="text1" w:themeTint="BF"/>
                        <w:sz w:val="18"/>
                        <w:szCs w:val="16"/>
                      </w:rPr>
                    </w:pPr>
                    <w:r>
                      <w:rPr>
                        <w:color w:val="404040" w:themeColor="text1" w:themeTint="BF"/>
                        <w:sz w:val="18"/>
                        <w:szCs w:val="16"/>
                      </w:rPr>
                      <w:t>Tagalog</w:t>
                    </w:r>
                  </w:p>
                </w:txbxContent>
              </v:textbox>
              <w10:wrap type="square" anchorx="margin"/>
            </v:shape>
          </w:pict>
        </mc:Fallback>
      </mc:AlternateContent>
    </w:r>
    <w:r w:rsidR="00DD5BF0">
      <w:rPr>
        <w:noProof/>
        <w:lang w:val="fil"/>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fil"/>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29D1"/>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3F5291"/>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77D42"/>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95B0E"/>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4601"/>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94A1B"/>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577D42"/>
    <w:rsid w:val="00702A54"/>
    <w:rsid w:val="00716BF8"/>
    <w:rsid w:val="00991E2F"/>
    <w:rsid w:val="00AC4601"/>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2.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CF7BBD06-D6E5-4495-93D7-E2F63B4B3DE6}"/>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2025-04-09T02:58:00Z</dcterms:created>
  <dcterms:modified xsi:type="dcterms:W3CDTF">2025-04-09T02:58:00Z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