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5B" w:rsidRDefault="00A6475B" w:rsidP="007A1ABA">
      <w:pPr>
        <w:pStyle w:val="Heading1"/>
        <w:numPr>
          <w:ilvl w:val="0"/>
          <w:numId w:val="0"/>
        </w:numPr>
        <w:ind w:left="1134" w:hanging="1134"/>
      </w:pPr>
      <w:bookmarkStart w:id="0" w:name="_Toc507659496"/>
      <w:bookmarkStart w:id="1" w:name="_GoBack"/>
      <w:bookmarkEnd w:id="1"/>
      <w:r>
        <w:t>APPENDIX a: ACQUISITION EXEMPTIONS</w:t>
      </w:r>
      <w:bookmarkEnd w:id="0"/>
    </w:p>
    <w:p w:rsidR="00A6475B" w:rsidRDefault="00A6475B" w:rsidP="00A6475B">
      <w:pPr>
        <w:pStyle w:val="AppendixHdg2"/>
        <w:spacing w:after="120"/>
      </w:pPr>
      <w:bookmarkStart w:id="2" w:name="_Toc507659497"/>
      <w:r>
        <w:t>“EXTRA” ACCESSORIES</w:t>
      </w:r>
      <w:r w:rsidRPr="004C5E83">
        <w:t xml:space="preserve"> </w:t>
      </w:r>
      <w:r>
        <w:t>WHICH MAY BE APPROVED BY SITE MANAGER</w:t>
      </w:r>
      <w:bookmarkEnd w:id="2"/>
      <w:r>
        <w:t xml:space="preserve"> 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3544"/>
        <w:gridCol w:w="2410"/>
        <w:gridCol w:w="2268"/>
        <w:gridCol w:w="2268"/>
      </w:tblGrid>
      <w:tr w:rsidR="00A6475B" w:rsidRPr="004C5E83" w:rsidTr="00F07C49">
        <w:tc>
          <w:tcPr>
            <w:tcW w:w="3544" w:type="dxa"/>
          </w:tcPr>
          <w:p w:rsidR="00A6475B" w:rsidRPr="004C5E83" w:rsidRDefault="00A6475B" w:rsidP="00F07C49">
            <w:pPr>
              <w:pStyle w:val="BodyText1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Additional equipment which may be approved</w:t>
            </w:r>
            <w:r>
              <w:rPr>
                <w:rStyle w:val="FootnoteReference"/>
                <w:b/>
                <w:lang w:eastAsia="en-US"/>
              </w:rPr>
              <w:footnoteReference w:id="1"/>
            </w:r>
          </w:p>
        </w:tc>
        <w:tc>
          <w:tcPr>
            <w:tcW w:w="6946" w:type="dxa"/>
            <w:gridSpan w:val="3"/>
            <w:shd w:val="clear" w:color="auto" w:fill="F2F2F2" w:themeFill="background1" w:themeFillShade="F2"/>
          </w:tcPr>
          <w:p w:rsidR="00A6475B" w:rsidRDefault="00A6475B" w:rsidP="00F07C49">
            <w:pPr>
              <w:pStyle w:val="BodyText1"/>
              <w:spacing w:before="120"/>
              <w:ind w:left="0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Regions</w:t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Pr="004C5E83" w:rsidRDefault="00A6475B" w:rsidP="00F07C49">
            <w:pPr>
              <w:pStyle w:val="BodyText1"/>
              <w:spacing w:after="120"/>
              <w:ind w:left="0"/>
              <w:rPr>
                <w:b/>
                <w:color w:val="auto"/>
                <w:lang w:eastAsia="en-U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A6475B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North Metropolitan</w:t>
            </w:r>
          </w:p>
          <w:p w:rsidR="00A6475B" w:rsidRPr="004C5E83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South Metropolitan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6475B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Midwest</w:t>
            </w:r>
          </w:p>
          <w:p w:rsidR="00A6475B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Wheatbelt</w:t>
            </w:r>
          </w:p>
          <w:p w:rsidR="00A6475B" w:rsidRPr="004C5E83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Southwest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6475B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Kimberley</w:t>
            </w:r>
          </w:p>
          <w:p w:rsidR="00A6475B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Pilbara</w:t>
            </w:r>
          </w:p>
          <w:p w:rsidR="00A6475B" w:rsidRPr="004C5E83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Goldfields</w:t>
            </w:r>
          </w:p>
        </w:tc>
      </w:tr>
      <w:tr w:rsidR="00A6475B" w:rsidRPr="00FC64BC" w:rsidTr="00F07C49">
        <w:tc>
          <w:tcPr>
            <w:tcW w:w="3544" w:type="dxa"/>
            <w:shd w:val="clear" w:color="auto" w:fill="F2F2F2" w:themeFill="background1" w:themeFillShade="F2"/>
          </w:tcPr>
          <w:p w:rsidR="00A6475B" w:rsidRDefault="00A6475B" w:rsidP="00F07C49">
            <w:pPr>
              <w:pStyle w:val="BodyText1"/>
              <w:spacing w:before="12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General road-type </w:t>
            </w:r>
          </w:p>
          <w:p w:rsidR="00A6475B" w:rsidRPr="00FC64BC" w:rsidRDefault="00A6475B" w:rsidP="00F07C49">
            <w:pPr>
              <w:pStyle w:val="BodyText1"/>
              <w:spacing w:before="0" w:after="12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(special consideration)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6475B" w:rsidRPr="00097A69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 w:rsidRPr="00097A69">
              <w:rPr>
                <w:color w:val="auto"/>
                <w:lang w:eastAsia="en-US"/>
              </w:rPr>
              <w:t>Sealed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6475B" w:rsidRPr="00097A69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 w:rsidRPr="00097A69">
              <w:rPr>
                <w:color w:val="auto"/>
                <w:lang w:eastAsia="en-US"/>
              </w:rPr>
              <w:t>Sealed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6475B" w:rsidRPr="00097A69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 w:rsidRPr="00097A69">
              <w:rPr>
                <w:color w:val="auto"/>
                <w:lang w:eastAsia="en-US"/>
              </w:rPr>
              <w:t>Non-Sealed</w:t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Pr="004C5E83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airbag compatible bull bar or roo bar</w:t>
            </w:r>
          </w:p>
        </w:tc>
        <w:tc>
          <w:tcPr>
            <w:tcW w:w="2410" w:type="dxa"/>
          </w:tcPr>
          <w:p w:rsidR="00A6475B" w:rsidRPr="00787D91" w:rsidRDefault="00A6475B" w:rsidP="00F07C49">
            <w:pPr>
              <w:pStyle w:val="BodyText1"/>
              <w:ind w:left="0"/>
              <w:jc w:val="center"/>
              <w:rPr>
                <w:color w:val="auto"/>
                <w:sz w:val="24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Pr="004C5E83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Pr="00787D91" w:rsidRDefault="00A6475B" w:rsidP="00F07C49">
            <w:pPr>
              <w:pStyle w:val="BodyText1"/>
              <w:ind w:left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Pr="004C5E83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long-range fuel tank</w:t>
            </w:r>
          </w:p>
        </w:tc>
        <w:tc>
          <w:tcPr>
            <w:tcW w:w="2410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Pr="004C5E83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winch (airbag compatible) and vehicle recovery equipment</w:t>
            </w:r>
          </w:p>
        </w:tc>
        <w:tc>
          <w:tcPr>
            <w:tcW w:w="2410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Pr="004C5E83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fire extinguisher</w:t>
            </w:r>
          </w:p>
        </w:tc>
        <w:tc>
          <w:tcPr>
            <w:tcW w:w="2410" w:type="dxa"/>
          </w:tcPr>
          <w:p w:rsidR="00A6475B" w:rsidRPr="004C5E83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Pr="004C5E83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Pr="004C5E83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roll-over protection system</w:t>
            </w:r>
            <w:r>
              <w:rPr>
                <w:rStyle w:val="FootnoteReference"/>
                <w:lang w:eastAsia="en-US"/>
              </w:rPr>
              <w:footnoteReference w:id="2"/>
            </w:r>
          </w:p>
        </w:tc>
        <w:tc>
          <w:tcPr>
            <w:tcW w:w="2410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snorkel</w:t>
            </w:r>
          </w:p>
        </w:tc>
        <w:tc>
          <w:tcPr>
            <w:tcW w:w="2410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LED driving/spot lights</w:t>
            </w:r>
          </w:p>
        </w:tc>
        <w:tc>
          <w:tcPr>
            <w:tcW w:w="2410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Nudge bars</w:t>
            </w:r>
          </w:p>
        </w:tc>
        <w:tc>
          <w:tcPr>
            <w:tcW w:w="2410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Dual Spare Tyre Carrier</w:t>
            </w:r>
          </w:p>
        </w:tc>
        <w:tc>
          <w:tcPr>
            <w:tcW w:w="2410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Extra Spare Tyre</w:t>
            </w:r>
          </w:p>
        </w:tc>
        <w:tc>
          <w:tcPr>
            <w:tcW w:w="2410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A6475B" w:rsidRPr="007F44BF" w:rsidTr="00F07C49">
        <w:tc>
          <w:tcPr>
            <w:tcW w:w="3544" w:type="dxa"/>
          </w:tcPr>
          <w:p w:rsidR="00A6475B" w:rsidRPr="007F44BF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 w:rsidRPr="007F44BF">
              <w:rPr>
                <w:color w:val="auto"/>
                <w:lang w:eastAsia="en-US"/>
              </w:rPr>
              <w:t>Roo System</w:t>
            </w:r>
          </w:p>
        </w:tc>
        <w:tc>
          <w:tcPr>
            <w:tcW w:w="2410" w:type="dxa"/>
          </w:tcPr>
          <w:p w:rsidR="00A6475B" w:rsidRPr="007F44BF" w:rsidRDefault="00A6475B" w:rsidP="00F07C49">
            <w:pPr>
              <w:pStyle w:val="BodyText1"/>
              <w:ind w:left="0"/>
              <w:jc w:val="center"/>
              <w:rPr>
                <w:color w:val="auto"/>
                <w:sz w:val="24"/>
                <w:lang w:eastAsia="en-US"/>
              </w:rPr>
            </w:pPr>
            <w:r w:rsidRPr="007F44BF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Pr="007F44BF" w:rsidRDefault="00A6475B" w:rsidP="00F07C49">
            <w:pPr>
              <w:pStyle w:val="BodyText1"/>
              <w:ind w:left="0"/>
              <w:jc w:val="center"/>
              <w:rPr>
                <w:color w:val="auto"/>
                <w:sz w:val="24"/>
                <w:lang w:eastAsia="en-US"/>
              </w:rPr>
            </w:pPr>
            <w:r w:rsidRPr="007F44BF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  <w:tc>
          <w:tcPr>
            <w:tcW w:w="2268" w:type="dxa"/>
          </w:tcPr>
          <w:p w:rsidR="00A6475B" w:rsidRPr="007F44BF" w:rsidRDefault="00A6475B" w:rsidP="00F07C49">
            <w:pPr>
              <w:pStyle w:val="BodyText1"/>
              <w:ind w:left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7F44BF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</w:tr>
    </w:tbl>
    <w:p w:rsidR="00A6475B" w:rsidRPr="007F44BF" w:rsidRDefault="00A6475B" w:rsidP="00A6475B">
      <w:pPr>
        <w:pStyle w:val="AppendixHdg2"/>
        <w:numPr>
          <w:ilvl w:val="0"/>
          <w:numId w:val="0"/>
        </w:numPr>
      </w:pPr>
    </w:p>
    <w:p w:rsidR="00A6475B" w:rsidRDefault="00A6475B" w:rsidP="00A6475B">
      <w:pPr>
        <w:rPr>
          <w:rFonts w:ascii="Trebuchet MS" w:eastAsia="Times New Roman" w:hAnsi="Trebuchet MS" w:cs="Times New Roman"/>
          <w:b/>
          <w:caps/>
          <w:kern w:val="20"/>
          <w:sz w:val="24"/>
          <w:szCs w:val="24"/>
        </w:rPr>
      </w:pPr>
      <w:r>
        <w:br w:type="page"/>
      </w:r>
    </w:p>
    <w:p w:rsidR="00A6475B" w:rsidRPr="007F44BF" w:rsidRDefault="00A6475B" w:rsidP="00A6475B">
      <w:pPr>
        <w:pStyle w:val="AppendixHdg2"/>
      </w:pPr>
      <w:bookmarkStart w:id="3" w:name="_Toc507659498"/>
      <w:r>
        <w:lastRenderedPageBreak/>
        <w:t xml:space="preserve">Exemptions that may be requested seeking departure from </w:t>
      </w:r>
      <w:r w:rsidRPr="007F44BF">
        <w:t>Department PLC &lt;4.5T Fleet Management policy</w:t>
      </w:r>
      <w:bookmarkEnd w:id="3"/>
    </w:p>
    <w:p w:rsidR="00A6475B" w:rsidRPr="007F44BF" w:rsidRDefault="00A6475B" w:rsidP="00A6475B">
      <w:pPr>
        <w:pStyle w:val="BodyText1"/>
        <w:rPr>
          <w:color w:val="auto"/>
          <w:lang w:eastAsia="en-US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3544"/>
        <w:gridCol w:w="2410"/>
        <w:gridCol w:w="2268"/>
        <w:gridCol w:w="2268"/>
      </w:tblGrid>
      <w:tr w:rsidR="00A6475B" w:rsidRPr="004C5E83" w:rsidTr="00F07C49">
        <w:tc>
          <w:tcPr>
            <w:tcW w:w="3544" w:type="dxa"/>
          </w:tcPr>
          <w:p w:rsidR="00A6475B" w:rsidRPr="004C5E83" w:rsidRDefault="00A6475B" w:rsidP="00F07C49">
            <w:pPr>
              <w:pStyle w:val="BodyText1"/>
              <w:ind w:left="0"/>
              <w:rPr>
                <w:b/>
                <w:color w:val="auto"/>
                <w:lang w:eastAsia="en-US"/>
              </w:rPr>
            </w:pPr>
          </w:p>
        </w:tc>
        <w:tc>
          <w:tcPr>
            <w:tcW w:w="2410" w:type="dxa"/>
          </w:tcPr>
          <w:p w:rsidR="00A6475B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North Metropolitan</w:t>
            </w:r>
          </w:p>
          <w:p w:rsidR="00A6475B" w:rsidRPr="004C5E83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South Metropolitan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Midwest</w:t>
            </w:r>
          </w:p>
          <w:p w:rsidR="00A6475B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Wheatbelt</w:t>
            </w:r>
          </w:p>
          <w:p w:rsidR="00A6475B" w:rsidRPr="004C5E83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Southwest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Kimberley</w:t>
            </w:r>
          </w:p>
          <w:p w:rsidR="00A6475B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Pilbara</w:t>
            </w:r>
          </w:p>
          <w:p w:rsidR="00A6475B" w:rsidRPr="004C5E83" w:rsidRDefault="00A6475B" w:rsidP="00F07C49">
            <w:pPr>
              <w:pStyle w:val="BodyText1"/>
              <w:spacing w:before="0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Goldfields</w:t>
            </w:r>
          </w:p>
        </w:tc>
      </w:tr>
      <w:tr w:rsidR="00A6475B" w:rsidRPr="00FC64BC" w:rsidTr="00F07C49">
        <w:tc>
          <w:tcPr>
            <w:tcW w:w="3544" w:type="dxa"/>
          </w:tcPr>
          <w:p w:rsidR="00A6475B" w:rsidRPr="00FC64BC" w:rsidRDefault="00A6475B" w:rsidP="00F07C49">
            <w:pPr>
              <w:pStyle w:val="BodyText1"/>
              <w:ind w:left="0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Typical Road Type</w:t>
            </w:r>
          </w:p>
        </w:tc>
        <w:tc>
          <w:tcPr>
            <w:tcW w:w="2410" w:type="dxa"/>
          </w:tcPr>
          <w:p w:rsidR="00A6475B" w:rsidRPr="00FC64BC" w:rsidRDefault="00A6475B" w:rsidP="00F07C49">
            <w:pPr>
              <w:pStyle w:val="BodyText1"/>
              <w:ind w:left="0"/>
              <w:rPr>
                <w:b/>
                <w:color w:val="auto"/>
                <w:lang w:eastAsia="en-US"/>
              </w:rPr>
            </w:pPr>
            <w:r w:rsidRPr="00FC64BC">
              <w:rPr>
                <w:b/>
                <w:color w:val="auto"/>
                <w:lang w:eastAsia="en-US"/>
              </w:rPr>
              <w:t>Sealed</w:t>
            </w:r>
          </w:p>
        </w:tc>
        <w:tc>
          <w:tcPr>
            <w:tcW w:w="2268" w:type="dxa"/>
          </w:tcPr>
          <w:p w:rsidR="00A6475B" w:rsidRPr="00FC64BC" w:rsidRDefault="00A6475B" w:rsidP="00F07C49">
            <w:pPr>
              <w:pStyle w:val="BodyText1"/>
              <w:ind w:left="0"/>
              <w:rPr>
                <w:b/>
                <w:color w:val="auto"/>
                <w:lang w:eastAsia="en-US"/>
              </w:rPr>
            </w:pPr>
            <w:r w:rsidRPr="00FC64BC">
              <w:rPr>
                <w:b/>
                <w:color w:val="auto"/>
                <w:lang w:eastAsia="en-US"/>
              </w:rPr>
              <w:t>Sealed</w:t>
            </w:r>
          </w:p>
        </w:tc>
        <w:tc>
          <w:tcPr>
            <w:tcW w:w="2268" w:type="dxa"/>
          </w:tcPr>
          <w:p w:rsidR="00A6475B" w:rsidRPr="00FC64BC" w:rsidRDefault="00A6475B" w:rsidP="00F07C49">
            <w:pPr>
              <w:pStyle w:val="BodyText1"/>
              <w:ind w:left="0"/>
              <w:rPr>
                <w:b/>
                <w:color w:val="auto"/>
                <w:lang w:eastAsia="en-US"/>
              </w:rPr>
            </w:pPr>
            <w:r w:rsidRPr="00FC64BC">
              <w:rPr>
                <w:b/>
                <w:color w:val="auto"/>
                <w:lang w:eastAsia="en-US"/>
              </w:rPr>
              <w:t>Non-Sealed</w:t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Pr="004C5E83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Mini-Bus (Best Buy list)</w:t>
            </w:r>
          </w:p>
        </w:tc>
        <w:tc>
          <w:tcPr>
            <w:tcW w:w="2410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Pr="004C5E83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4WD (Best Buy list)</w:t>
            </w:r>
          </w:p>
        </w:tc>
        <w:tc>
          <w:tcPr>
            <w:tcW w:w="2410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Pr="008E6491" w:rsidRDefault="00A6475B" w:rsidP="00F07C49">
            <w:pPr>
              <w:pStyle w:val="BodyText1"/>
              <w:ind w:left="0"/>
              <w:jc w:val="center"/>
              <w:rPr>
                <w:color w:val="auto"/>
                <w:vertAlign w:val="superscript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  <w:r w:rsidRPr="0083197E">
              <w:rPr>
                <w:rStyle w:val="FootnoteReference"/>
              </w:rPr>
              <w:t>3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  <w:r>
              <w:rPr>
                <w:rStyle w:val="FootnoteReference"/>
                <w:szCs w:val="28"/>
                <w:lang w:eastAsia="en-US"/>
              </w:rPr>
              <w:footnoteReference w:id="3"/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Standard Lease Term</w:t>
            </w:r>
            <w:r>
              <w:rPr>
                <w:rStyle w:val="FootnoteReference"/>
                <w:lang w:eastAsia="en-US"/>
              </w:rPr>
              <w:footnoteReference w:id="4"/>
            </w:r>
          </w:p>
        </w:tc>
        <w:tc>
          <w:tcPr>
            <w:tcW w:w="2410" w:type="dxa"/>
          </w:tcPr>
          <w:p w:rsidR="00A6475B" w:rsidRPr="00787D91" w:rsidRDefault="00A6475B" w:rsidP="00F07C49">
            <w:pPr>
              <w:pStyle w:val="BodyText1"/>
              <w:ind w:left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Pr="00787D91" w:rsidRDefault="00A6475B" w:rsidP="00F07C49">
            <w:pPr>
              <w:pStyle w:val="BodyText1"/>
              <w:ind w:left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Default="00A6475B" w:rsidP="00F07C49">
            <w:pPr>
              <w:pStyle w:val="BodyText1"/>
              <w:ind w:left="0"/>
              <w:jc w:val="center"/>
              <w:rPr>
                <w:color w:val="auto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  <w:r>
              <w:rPr>
                <w:rStyle w:val="FootnoteReference"/>
                <w:lang w:eastAsia="en-US"/>
              </w:rPr>
              <w:footnoteReference w:id="5"/>
            </w:r>
          </w:p>
        </w:tc>
      </w:tr>
      <w:tr w:rsidR="00A6475B" w:rsidRPr="004C5E83" w:rsidTr="00F07C49">
        <w:tc>
          <w:tcPr>
            <w:tcW w:w="3544" w:type="dxa"/>
          </w:tcPr>
          <w:p w:rsidR="00A6475B" w:rsidRDefault="00A6475B" w:rsidP="00F07C49">
            <w:pPr>
              <w:pStyle w:val="BodyText1"/>
              <w:ind w:left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Vinyl Interiors</w:t>
            </w:r>
          </w:p>
        </w:tc>
        <w:tc>
          <w:tcPr>
            <w:tcW w:w="2410" w:type="dxa"/>
          </w:tcPr>
          <w:p w:rsidR="00A6475B" w:rsidRPr="00787D91" w:rsidRDefault="00A6475B" w:rsidP="00F07C49">
            <w:pPr>
              <w:pStyle w:val="BodyText1"/>
              <w:ind w:left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Pr="00787D91" w:rsidRDefault="00A6475B" w:rsidP="00F07C49">
            <w:pPr>
              <w:pStyle w:val="BodyText1"/>
              <w:ind w:left="0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787D91">
              <w:rPr>
                <w:color w:val="auto"/>
                <w:sz w:val="24"/>
                <w:lang w:eastAsia="en-US"/>
              </w:rPr>
              <w:t>X</w:t>
            </w:r>
          </w:p>
        </w:tc>
        <w:tc>
          <w:tcPr>
            <w:tcW w:w="2268" w:type="dxa"/>
          </w:tcPr>
          <w:p w:rsidR="00A6475B" w:rsidRPr="00787D91" w:rsidRDefault="00A6475B" w:rsidP="00F07C49">
            <w:pPr>
              <w:pStyle w:val="BodyText1"/>
              <w:ind w:left="0"/>
              <w:jc w:val="center"/>
              <w:rPr>
                <w:color w:val="auto"/>
                <w:sz w:val="24"/>
                <w:lang w:eastAsia="en-US"/>
              </w:rPr>
            </w:pPr>
            <w:r w:rsidRPr="00787D91">
              <w:rPr>
                <w:color w:val="auto"/>
                <w:sz w:val="28"/>
                <w:szCs w:val="28"/>
                <w:lang w:eastAsia="en-US"/>
              </w:rPr>
              <w:sym w:font="Wingdings" w:char="F0FC"/>
            </w:r>
          </w:p>
        </w:tc>
      </w:tr>
    </w:tbl>
    <w:p w:rsidR="00A6475B" w:rsidRPr="00315AA3" w:rsidRDefault="00A6475B" w:rsidP="00A6475B">
      <w:pPr>
        <w:pStyle w:val="BodyText1"/>
        <w:ind w:left="-567" w:right="-424"/>
      </w:pPr>
      <w:r>
        <w:t>Application for approval is made to Specialist Advisor Commercial by Site Manager. Commercial Services will liaise with State Fleet to request exemption.</w:t>
      </w:r>
    </w:p>
    <w:p w:rsidR="00A6475B" w:rsidRDefault="00A6475B" w:rsidP="00A6475B">
      <w:pPr>
        <w:rPr>
          <w:rFonts w:ascii="Trebuchet MS" w:eastAsia="Times New Roman" w:hAnsi="Trebuchet MS" w:cs="Arial"/>
          <w:bCs/>
          <w:caps/>
          <w:color w:val="000000"/>
          <w:kern w:val="32"/>
          <w:sz w:val="28"/>
          <w:szCs w:val="32"/>
          <w:lang w:eastAsia="en-AU"/>
        </w:rPr>
      </w:pPr>
      <w:r>
        <w:br w:type="page"/>
      </w:r>
    </w:p>
    <w:p w:rsidR="00CC6B33" w:rsidRDefault="00CC6B33"/>
    <w:sectPr w:rsidR="00CC6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5B" w:rsidRDefault="00A6475B" w:rsidP="00A6475B">
      <w:r>
        <w:separator/>
      </w:r>
    </w:p>
  </w:endnote>
  <w:endnote w:type="continuationSeparator" w:id="0">
    <w:p w:rsidR="00A6475B" w:rsidRDefault="00A6475B" w:rsidP="00A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5B" w:rsidRDefault="00A6475B" w:rsidP="00A6475B">
      <w:r>
        <w:separator/>
      </w:r>
    </w:p>
  </w:footnote>
  <w:footnote w:type="continuationSeparator" w:id="0">
    <w:p w:rsidR="00A6475B" w:rsidRDefault="00A6475B" w:rsidP="00A6475B">
      <w:r>
        <w:continuationSeparator/>
      </w:r>
    </w:p>
  </w:footnote>
  <w:footnote w:id="1">
    <w:p w:rsidR="00A6475B" w:rsidRDefault="00A6475B" w:rsidP="00A6475B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</w:t>
      </w:r>
      <w:r w:rsidRPr="00787D91">
        <w:rPr>
          <w:i/>
          <w:szCs w:val="22"/>
        </w:rPr>
        <w:t>Safe Driving Guidelines for Western Australian Government Agencies</w:t>
      </w:r>
      <w:r w:rsidRPr="00787D91">
        <w:rPr>
          <w:szCs w:val="22"/>
        </w:rPr>
        <w:t xml:space="preserve"> (Safe Driving Guidelines) clause 2</w:t>
      </w:r>
    </w:p>
  </w:footnote>
  <w:footnote w:id="2">
    <w:p w:rsidR="00A6475B" w:rsidRDefault="00A6475B" w:rsidP="00A6475B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Must comply with manufacturer specifications, and not occlude air bags.</w:t>
      </w:r>
    </w:p>
  </w:footnote>
  <w:footnote w:id="3">
    <w:p w:rsidR="00A6475B" w:rsidRDefault="00A6475B" w:rsidP="00A6475B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High clearance Prado or </w:t>
      </w:r>
      <w:proofErr w:type="spellStart"/>
      <w:r>
        <w:t>Landcruiser</w:t>
      </w:r>
      <w:proofErr w:type="spellEnd"/>
      <w:r>
        <w:t xml:space="preserve"> option possible on demonstration of operational need.</w:t>
      </w:r>
    </w:p>
  </w:footnote>
  <w:footnote w:id="4">
    <w:p w:rsidR="00A6475B" w:rsidRDefault="00A6475B" w:rsidP="00A6475B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Lease terms are prescribed by the Department of Finance</w:t>
      </w:r>
    </w:p>
  </w:footnote>
  <w:footnote w:id="5">
    <w:p w:rsidR="00A6475B" w:rsidRDefault="00A6475B" w:rsidP="00A6475B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May apply for reduced lease term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533D0130"/>
    <w:multiLevelType w:val="multilevel"/>
    <w:tmpl w:val="8676D8FC"/>
    <w:styleLink w:val="HeadingsList"/>
    <w:lvl w:ilvl="0">
      <w:start w:val="1"/>
      <w:numFmt w:val="decimal"/>
      <w:lvlRestart w:val="0"/>
      <w:pStyle w:val="Heading1"/>
      <w:lvlText w:val="%1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8"/>
        <w:u w:val="none"/>
        <w:vertAlign w:val="baseline"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ascii="Trebuchet MS" w:hAnsi="Trebuchet MS" w:hint="default"/>
        <w:b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1134" w:hanging="1134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1134" w:hanging="1134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1134" w:hanging="1134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1134" w:hanging="1134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1134" w:hanging="1134"/>
      </w:pPr>
      <w:rPr>
        <w:rFonts w:hint="default"/>
        <w:b/>
        <w:i w:val="0"/>
      </w:rPr>
    </w:lvl>
  </w:abstractNum>
  <w:num w:numId="1">
    <w:abstractNumId w:val="0"/>
    <w:lvlOverride w:ilvl="0">
      <w:lvl w:ilvl="0">
        <w:start w:val="1"/>
        <w:numFmt w:val="upperLetter"/>
        <w:lvlRestart w:val="0"/>
        <w:pStyle w:val="AppendixHdg1"/>
        <w:lvlText w:val="Appendix %1."/>
        <w:lvlJc w:val="left"/>
        <w:pPr>
          <w:ind w:left="1701" w:hanging="1701"/>
        </w:pPr>
        <w:rPr>
          <w:rFonts w:ascii="Trebuchet MS" w:hAnsi="Trebuchet MS" w:hint="default"/>
          <w:b w:val="0"/>
          <w:i w:val="0"/>
          <w:caps/>
          <w:smallCaps w:val="0"/>
          <w:strike w:val="0"/>
          <w:dstrike w:val="0"/>
          <w:vanish w:val="0"/>
          <w:kern w:val="20"/>
          <w:sz w:val="28"/>
          <w:vertAlign w:val="baseline"/>
          <w14:cntxtAlts w14:val="0"/>
        </w:rPr>
      </w:lvl>
    </w:lvlOverride>
  </w:num>
  <w:num w:numId="2">
    <w:abstractNumId w:val="1"/>
    <w:lvlOverride w:ilvl="0">
      <w:lvl w:ilvl="0">
        <w:start w:val="1"/>
        <w:numFmt w:val="decimal"/>
        <w:lvlRestart w:val="0"/>
        <w:pStyle w:val="Heading1"/>
        <w:lvlText w:val="%1"/>
        <w:lvlJc w:val="left"/>
        <w:pPr>
          <w:ind w:left="1134" w:hanging="1134"/>
        </w:pPr>
        <w:rPr>
          <w:rFonts w:ascii="Trebuchet MS" w:hAnsi="Trebuchet MS" w:hint="default"/>
          <w:b w:val="0"/>
          <w:i w:val="0"/>
          <w:caps/>
          <w:smallCaps w:val="0"/>
          <w:strike w:val="0"/>
          <w:dstrike w:val="0"/>
          <w:vanish w:val="0"/>
          <w:color w:val="auto"/>
          <w:kern w:val="20"/>
          <w:sz w:val="28"/>
          <w:u w:val="none"/>
          <w:vertAlign w:val="baseline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134" w:hanging="1134"/>
        </w:pPr>
        <w:rPr>
          <w:rFonts w:ascii="Trebuchet MS" w:hAnsi="Trebuchet MS" w:hint="default"/>
          <w:b/>
          <w:i w:val="0"/>
          <w:caps/>
          <w:smallCaps w:val="0"/>
          <w:strike w:val="0"/>
          <w:dstrike w:val="0"/>
          <w:vanish w:val="0"/>
          <w:color w:val="auto"/>
          <w:kern w:val="20"/>
          <w:sz w:val="24"/>
          <w:u w:val="none"/>
          <w:vertAlign w:val="baseline"/>
          <w14:cntxtAlts w14:val="0"/>
        </w:rPr>
      </w:lvl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5B"/>
    <w:rsid w:val="007A1ABA"/>
    <w:rsid w:val="00A6475B"/>
    <w:rsid w:val="00CC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C33FF"/>
  <w15:chartTrackingRefBased/>
  <w15:docId w15:val="{BA7F8AD6-9107-4760-B7F6-E508621F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A6475B"/>
    <w:pPr>
      <w:spacing w:after="0" w:line="240" w:lineRule="auto"/>
    </w:pPr>
    <w:rPr>
      <w:rFonts w:eastAsiaTheme="minorEastAsia"/>
    </w:rPr>
  </w:style>
  <w:style w:type="paragraph" w:styleId="Heading1">
    <w:name w:val="heading 1"/>
    <w:next w:val="BodyText1"/>
    <w:link w:val="Heading1Char"/>
    <w:qFormat/>
    <w:rsid w:val="00A6475B"/>
    <w:pPr>
      <w:keepNext/>
      <w:keepLines/>
      <w:numPr>
        <w:numId w:val="2"/>
      </w:numPr>
      <w:spacing w:before="480" w:after="0" w:line="240" w:lineRule="auto"/>
      <w:outlineLvl w:val="0"/>
    </w:pPr>
    <w:rPr>
      <w:rFonts w:ascii="Trebuchet MS" w:eastAsia="Times New Roman" w:hAnsi="Trebuchet MS" w:cs="Arial"/>
      <w:b/>
      <w:bCs/>
      <w:caps/>
      <w:color w:val="000000"/>
      <w:kern w:val="32"/>
      <w:sz w:val="28"/>
      <w:szCs w:val="32"/>
      <w:lang w:eastAsia="en-AU"/>
    </w:rPr>
  </w:style>
  <w:style w:type="paragraph" w:styleId="Heading2">
    <w:name w:val="heading 2"/>
    <w:next w:val="BodyText1"/>
    <w:link w:val="Heading2Char"/>
    <w:qFormat/>
    <w:rsid w:val="00A6475B"/>
    <w:pPr>
      <w:keepNext/>
      <w:keepLines/>
      <w:numPr>
        <w:ilvl w:val="1"/>
        <w:numId w:val="2"/>
      </w:numPr>
      <w:spacing w:before="400" w:after="0" w:line="240" w:lineRule="auto"/>
      <w:outlineLvl w:val="1"/>
    </w:pPr>
    <w:rPr>
      <w:rFonts w:ascii="Trebuchet MS" w:eastAsia="Times New Roman" w:hAnsi="Trebuchet MS" w:cs="Arial"/>
      <w:b/>
      <w:bCs/>
      <w:iCs/>
      <w:caps/>
      <w:color w:val="000000"/>
      <w:sz w:val="24"/>
      <w:szCs w:val="28"/>
      <w:lang w:eastAsia="en-AU"/>
    </w:rPr>
  </w:style>
  <w:style w:type="paragraph" w:styleId="Heading3">
    <w:name w:val="heading 3"/>
    <w:next w:val="BodyText1"/>
    <w:link w:val="Heading3Char"/>
    <w:qFormat/>
    <w:rsid w:val="00A6475B"/>
    <w:pPr>
      <w:keepNext/>
      <w:keepLines/>
      <w:numPr>
        <w:ilvl w:val="2"/>
        <w:numId w:val="2"/>
      </w:numPr>
      <w:spacing w:before="320" w:after="0" w:line="240" w:lineRule="auto"/>
      <w:outlineLvl w:val="2"/>
    </w:pPr>
    <w:rPr>
      <w:rFonts w:ascii="Trebuchet MS" w:eastAsia="Times New Roman" w:hAnsi="Trebuchet MS" w:cs="Arial"/>
      <w:b/>
      <w:bCs/>
      <w:caps/>
      <w:color w:val="000000"/>
      <w:sz w:val="24"/>
      <w:szCs w:val="26"/>
      <w:lang w:eastAsia="en-AU"/>
    </w:rPr>
  </w:style>
  <w:style w:type="paragraph" w:styleId="Heading4">
    <w:name w:val="heading 4"/>
    <w:next w:val="BodyText1"/>
    <w:link w:val="Heading4Char"/>
    <w:qFormat/>
    <w:rsid w:val="00A6475B"/>
    <w:pPr>
      <w:keepNext/>
      <w:keepLines/>
      <w:numPr>
        <w:ilvl w:val="3"/>
        <w:numId w:val="2"/>
      </w:numPr>
      <w:spacing w:before="280" w:after="0" w:line="240" w:lineRule="auto"/>
      <w:ind w:left="2574"/>
      <w:outlineLvl w:val="3"/>
    </w:pPr>
    <w:rPr>
      <w:rFonts w:ascii="Trebuchet MS" w:eastAsia="Times New Roman" w:hAnsi="Trebuchet MS" w:cs="Arial"/>
      <w:bCs/>
      <w:caps/>
      <w:color w:val="000000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475B"/>
    <w:rPr>
      <w:rFonts w:ascii="Trebuchet MS" w:eastAsia="Times New Roman" w:hAnsi="Trebuchet MS" w:cs="Arial"/>
      <w:b/>
      <w:bCs/>
      <w:caps/>
      <w:color w:val="000000"/>
      <w:kern w:val="32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A6475B"/>
    <w:rPr>
      <w:rFonts w:ascii="Trebuchet MS" w:eastAsia="Times New Roman" w:hAnsi="Trebuchet MS" w:cs="Arial"/>
      <w:b/>
      <w:bCs/>
      <w:iCs/>
      <w:caps/>
      <w:color w:val="000000"/>
      <w:sz w:val="24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6475B"/>
    <w:rPr>
      <w:rFonts w:ascii="Trebuchet MS" w:eastAsia="Times New Roman" w:hAnsi="Trebuchet MS" w:cs="Arial"/>
      <w:b/>
      <w:bCs/>
      <w:caps/>
      <w:color w:val="000000"/>
      <w:sz w:val="24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6475B"/>
    <w:rPr>
      <w:rFonts w:ascii="Trebuchet MS" w:eastAsia="Times New Roman" w:hAnsi="Trebuchet MS" w:cs="Arial"/>
      <w:bCs/>
      <w:caps/>
      <w:color w:val="000000"/>
      <w:szCs w:val="28"/>
      <w:lang w:eastAsia="en-AU"/>
    </w:rPr>
  </w:style>
  <w:style w:type="paragraph" w:customStyle="1" w:styleId="BodyText1">
    <w:name w:val="Body Text 1"/>
    <w:link w:val="BodyText1Char"/>
    <w:uiPriority w:val="2"/>
    <w:rsid w:val="00A6475B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uiPriority w:val="2"/>
    <w:rsid w:val="00A6475B"/>
    <w:rPr>
      <w:rFonts w:ascii="Arial" w:eastAsia="Times New Roman" w:hAnsi="Arial" w:cs="Arial"/>
      <w:color w:val="000000"/>
      <w:szCs w:val="24"/>
      <w:lang w:eastAsia="en-AU"/>
    </w:rPr>
  </w:style>
  <w:style w:type="character" w:styleId="FootnoteReference">
    <w:name w:val="footnote reference"/>
    <w:uiPriority w:val="99"/>
    <w:rsid w:val="00A6475B"/>
    <w:rPr>
      <w:rFonts w:ascii="Arial" w:hAnsi="Arial" w:cs="Arial"/>
      <w:b w:val="0"/>
      <w:i w:val="0"/>
      <w:caps w:val="0"/>
      <w:color w:val="000000"/>
      <w:sz w:val="22"/>
      <w:vertAlign w:val="superscript"/>
      <w:lang w:val="en-AU"/>
    </w:rPr>
  </w:style>
  <w:style w:type="paragraph" w:styleId="FootnoteText">
    <w:name w:val="footnote text"/>
    <w:link w:val="FootnoteTextChar"/>
    <w:uiPriority w:val="99"/>
    <w:rsid w:val="00A6475B"/>
    <w:pPr>
      <w:keepLines/>
      <w:spacing w:before="120" w:after="0" w:line="240" w:lineRule="auto"/>
    </w:pPr>
    <w:rPr>
      <w:rFonts w:ascii="Arial" w:eastAsia="Times New Roman" w:hAnsi="Arial" w:cs="Arial"/>
      <w:color w:val="000000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475B"/>
    <w:rPr>
      <w:rFonts w:ascii="Arial" w:eastAsia="Times New Roman" w:hAnsi="Arial" w:cs="Arial"/>
      <w:color w:val="000000"/>
      <w:sz w:val="18"/>
      <w:szCs w:val="20"/>
      <w:lang w:eastAsia="en-AU"/>
    </w:rPr>
  </w:style>
  <w:style w:type="numbering" w:customStyle="1" w:styleId="AppendixHeadingsList">
    <w:name w:val="_AppendixHeadingsList"/>
    <w:basedOn w:val="NoList"/>
    <w:semiHidden/>
    <w:rsid w:val="00A6475B"/>
    <w:pPr>
      <w:numPr>
        <w:numId w:val="4"/>
      </w:numPr>
    </w:pPr>
  </w:style>
  <w:style w:type="numbering" w:customStyle="1" w:styleId="HeadingsList">
    <w:name w:val="_HeadingsList"/>
    <w:basedOn w:val="NoList"/>
    <w:semiHidden/>
    <w:rsid w:val="00A6475B"/>
    <w:pPr>
      <w:numPr>
        <w:numId w:val="3"/>
      </w:numPr>
    </w:pPr>
  </w:style>
  <w:style w:type="paragraph" w:customStyle="1" w:styleId="AppendixHdg1">
    <w:name w:val="Appendix Hdg 1"/>
    <w:basedOn w:val="Normal"/>
    <w:next w:val="BodyText1"/>
    <w:uiPriority w:val="1"/>
    <w:rsid w:val="00A6475B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A6475B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A6475B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A6475B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styleId="TableGrid">
    <w:name w:val="Table Grid"/>
    <w:basedOn w:val="TableNormal"/>
    <w:uiPriority w:val="59"/>
    <w:rsid w:val="00A6475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 Jacqueline [Policy &amp; Program Governance]</dc:creator>
  <cp:keywords/>
  <dc:description/>
  <cp:lastModifiedBy>TRUONG Ai-Ling [Policy &amp; Program Governance]</cp:lastModifiedBy>
  <cp:revision>2</cp:revision>
  <dcterms:created xsi:type="dcterms:W3CDTF">2020-09-09T02:39:00Z</dcterms:created>
  <dcterms:modified xsi:type="dcterms:W3CDTF">2020-10-05T07:03:00Z</dcterms:modified>
</cp:coreProperties>
</file>