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42A1DF12" w:rsidR="005E0D9F" w:rsidRDefault="00437728" w:rsidP="00110007">
      <w:pPr>
        <w:pStyle w:val="Title"/>
        <w:bidi/>
      </w:pPr>
      <w:bookmarkStart w:id="0" w:name="_Hlk103166844"/>
      <w:bookmarkStart w:id="1" w:name="_Toc84334888"/>
      <w:r>
        <w:rPr>
          <w:bCs/>
          <w:rtl/>
          <w:lang w:bidi="ar"/>
        </w:rPr>
        <w:t>حاجة الشباب</w:t>
      </w:r>
      <w:r w:rsidR="00D30638">
        <w:rPr>
          <w:bCs/>
          <w:lang w:bidi="ar"/>
        </w:rPr>
        <w:t xml:space="preserve"> </w:t>
      </w:r>
      <w:r>
        <w:rPr>
          <w:bCs/>
          <w:rtl/>
          <w:lang w:bidi="ar"/>
        </w:rPr>
        <w:t>للإنخراط في عالم العمل</w:t>
      </w:r>
    </w:p>
    <w:p w14:paraId="13365051" w14:textId="2EE0E42E" w:rsidR="005007C0" w:rsidRPr="00437728" w:rsidRDefault="00437728" w:rsidP="00054941">
      <w:pPr>
        <w:pStyle w:val="Title"/>
        <w:bidi/>
        <w:spacing w:after="360"/>
        <w:rPr>
          <w:rStyle w:val="DocumentSubtitle"/>
          <w:color w:val="auto"/>
        </w:rPr>
      </w:pPr>
      <w:r>
        <w:rPr>
          <w:bCs/>
          <w:color w:val="auto"/>
          <w:sz w:val="36"/>
          <w:rtl/>
          <w:lang w:bidi="ar"/>
        </w:rPr>
        <w:t>معلومات للأهالي ومقدمي الرعاية</w:t>
      </w:r>
    </w:p>
    <w:bookmarkEnd w:id="0"/>
    <w:bookmarkEnd w:id="1"/>
    <w:p w14:paraId="4F087164" w14:textId="52F00879" w:rsidR="00437728" w:rsidRPr="00B84B51" w:rsidRDefault="00B703A9" w:rsidP="00110007">
      <w:pPr>
        <w:pStyle w:val="BodyText"/>
        <w:bidi/>
      </w:pPr>
      <w:r>
        <w:rPr>
          <w:rtl/>
          <w:lang w:bidi="ar"/>
        </w:rPr>
        <w:t>يحتاج الشباب إلى فرص التعلّم من أصحاب العمل بشأن العمل والتوظيف المدفوع الأجر والمهارات ذات القيمة في مكان العمل. ينطبق هذا على جميع الشباب، سواء كانوا يسعون للدخول النباشر إلى الجامعة، أو ينوون الحصول على المزيد من التدريب عند تركهم المدرسة، أو يخططون للالتحاق مباشرةً بالقوة العاملة.</w:t>
      </w:r>
    </w:p>
    <w:p w14:paraId="2CA8C9D0" w14:textId="77777777" w:rsidR="00437728" w:rsidRPr="00B84B51" w:rsidRDefault="00437728" w:rsidP="00054941">
      <w:pPr>
        <w:pStyle w:val="BodyText"/>
        <w:bidi/>
        <w:spacing w:before="240"/>
      </w:pPr>
      <w:r>
        <w:rPr>
          <w:rtl/>
          <w:lang w:bidi="ar"/>
        </w:rPr>
        <w:t>التعاطي مع عالم العمل يساعد الشباب على فهم الصلة لما يتعلمونه في المدرسة، ويوسّع آفاقهم، ويرفع طموحاتهم، ويبرز مجموعة مسارات المهن والأعمال المفتوحة أمامهم.</w:t>
      </w:r>
    </w:p>
    <w:p w14:paraId="064DBB3F" w14:textId="77777777" w:rsidR="00B84B51" w:rsidRDefault="00B84B51" w:rsidP="00054941">
      <w:pPr>
        <w:pStyle w:val="BodyText"/>
        <w:bidi/>
        <w:spacing w:before="240"/>
      </w:pPr>
      <w:r>
        <w:rPr>
          <w:rtl/>
          <w:lang w:bidi="ar"/>
        </w:rPr>
        <w:t>يحتاح الشباب إلى الفرص لكي:</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before="1" w:line="268" w:lineRule="exact"/>
        <w:ind w:left="758" w:hanging="361"/>
      </w:pPr>
      <w:r>
        <w:rPr>
          <w:rtl/>
          <w:lang w:bidi="ar"/>
        </w:rPr>
        <w:t>يثبتون أنهم موثوقون</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ar"/>
        </w:rPr>
        <w:t>يظهرون أنهم يعلمون كيفية القيام بالعمل</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9" w:lineRule="exact"/>
        <w:ind w:left="758" w:hanging="361"/>
      </w:pPr>
      <w:r>
        <w:rPr>
          <w:rtl/>
          <w:lang w:bidi="ar"/>
        </w:rPr>
        <w:t>يعززون ثقتهم</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9" w:lineRule="exact"/>
        <w:ind w:left="758" w:hanging="361"/>
      </w:pPr>
      <w:r>
        <w:rPr>
          <w:rtl/>
          <w:lang w:bidi="ar"/>
        </w:rPr>
        <w:t>يطورون مهاراتهم.</w:t>
      </w:r>
    </w:p>
    <w:p w14:paraId="0FFA3579" w14:textId="77777777" w:rsidR="00B84B51" w:rsidRDefault="00B84B51" w:rsidP="00054941">
      <w:pPr>
        <w:pStyle w:val="BodyText"/>
        <w:bidi/>
        <w:spacing w:before="240"/>
      </w:pPr>
      <w:r>
        <w:rPr>
          <w:rtl/>
          <w:lang w:bidi="ar"/>
        </w:rPr>
        <w:t>تشمل فرص اختبار الشباب لعالم العمل ما يلي:</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before="2" w:line="269" w:lineRule="exact"/>
        <w:ind w:left="758" w:hanging="361"/>
      </w:pPr>
      <w:r>
        <w:rPr>
          <w:rtl/>
          <w:lang w:bidi="ar"/>
        </w:rPr>
        <w:t>أعمال عرضية وأعمال ذات دوام جزئي</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ar"/>
        </w:rPr>
        <w:t>التعلم في مكان العمل والخبرة العملية من خلال برنامج مدرسي</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ar"/>
        </w:rPr>
        <w:t>تعقب العمل وزيارات مكان العمل</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ar"/>
        </w:rPr>
        <w:t>التطوع</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ar"/>
        </w:rPr>
        <w:t>فترات التدريب وتجارب العمل</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ar"/>
        </w:rPr>
        <w:t>النوادي الرياضية</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9" w:lineRule="exact"/>
        <w:ind w:left="758" w:hanging="361"/>
      </w:pPr>
      <w:r>
        <w:rPr>
          <w:rtl/>
          <w:lang w:bidi="ar"/>
        </w:rPr>
        <w:t>ريادة الأعمال والشركات الناشئة.</w:t>
      </w:r>
    </w:p>
    <w:p w14:paraId="305FF42C" w14:textId="77777777" w:rsidR="00437728" w:rsidRDefault="00437728" w:rsidP="00054941">
      <w:pPr>
        <w:pStyle w:val="BodyText"/>
        <w:bidi/>
        <w:spacing w:before="240"/>
      </w:pPr>
      <w:r>
        <w:rPr>
          <w:rtl/>
          <w:lang w:bidi="ar"/>
        </w:rPr>
        <w:t>ستساعد هذه الخبرة على بناء المعرفة والمهارات المطلوبة لتأمين التوظيف والحفاظ عليه والتقدم في مكان العمل.</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bidi/>
        <w:spacing w:after="120"/>
        <w:rPr>
          <w:b/>
          <w:color w:val="592C82"/>
          <w:sz w:val="26"/>
          <w:szCs w:val="26"/>
        </w:rPr>
      </w:pPr>
      <w:r>
        <w:rPr>
          <w:b/>
          <w:bCs/>
          <w:color w:val="592C82"/>
          <w:sz w:val="26"/>
          <w:szCs w:val="26"/>
          <w:rtl/>
          <w:lang w:bidi="ar"/>
        </w:rPr>
        <w:t>يناء قدرات العمل</w:t>
      </w:r>
    </w:p>
    <w:p w14:paraId="1A52E4A2" w14:textId="5282FFA1" w:rsidR="00437728" w:rsidRDefault="00054941" w:rsidP="008F4C90">
      <w:pPr>
        <w:pStyle w:val="BodyText"/>
        <w:bidi/>
        <w:spacing w:before="1"/>
      </w:pPr>
      <w:r>
        <w:rPr>
          <w:rtl/>
          <w:lang w:bidi="ar"/>
        </w:rPr>
        <w:t xml:space="preserve">قدرات العمل هي المهارات والمعرفة والمفاهيم التي يحتاجها الشباب ليكونوا مستعدين للتعلم  والعمل والحياة في المستقبل. هي المهارات القابلة للتحويل التي تمكن الشباب من التقدم في العمل والحياة والتنقل فيهما والتعاطي معهما بنجاح. </w:t>
      </w:r>
    </w:p>
    <w:p w14:paraId="7919CC14" w14:textId="77777777" w:rsidR="00437728" w:rsidRPr="00285726" w:rsidRDefault="00437728" w:rsidP="00437728">
      <w:pPr>
        <w:pStyle w:val="BodyText"/>
        <w:spacing w:before="2"/>
        <w:rPr>
          <w:sz w:val="18"/>
          <w:szCs w:val="18"/>
        </w:rPr>
      </w:pPr>
    </w:p>
    <w:p w14:paraId="6235A672" w14:textId="37FD4BF1" w:rsidR="00C972CF" w:rsidRDefault="00437728" w:rsidP="008948B9">
      <w:pPr>
        <w:pStyle w:val="BodyText"/>
        <w:bidi/>
      </w:pPr>
      <w:r>
        <w:rPr>
          <w:rtl/>
          <w:lang w:bidi="ar"/>
        </w:rPr>
        <w:t>قدرات العمل الضرورية التي حددتها وزارة التعليم تشمل:</w:t>
      </w:r>
    </w:p>
    <w:p w14:paraId="766A0786" w14:textId="77777777" w:rsidR="00986634" w:rsidRDefault="00986634" w:rsidP="008948B9">
      <w:pPr>
        <w:pStyle w:val="BodyText"/>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14:paraId="143E4BB6" w14:textId="77777777" w:rsidTr="00A43535">
        <w:tc>
          <w:tcPr>
            <w:tcW w:w="4530" w:type="dxa"/>
          </w:tcPr>
          <w:p w14:paraId="225049CC" w14:textId="727FA896" w:rsidR="00986634" w:rsidRDefault="00A43535" w:rsidP="00A43535">
            <w:pPr>
              <w:pStyle w:val="BodyText"/>
              <w:bidi/>
            </w:pPr>
            <w:r>
              <w:rPr>
                <w:rtl/>
                <w:lang w:bidi="ar"/>
              </w:rPr>
              <w:t>- الإبداع</w:t>
            </w:r>
          </w:p>
        </w:tc>
        <w:tc>
          <w:tcPr>
            <w:tcW w:w="4530" w:type="dxa"/>
          </w:tcPr>
          <w:p w14:paraId="7D2BCC01" w14:textId="6FFF3CE9" w:rsidR="00986634" w:rsidRDefault="00A43535" w:rsidP="00A43535">
            <w:pPr>
              <w:pStyle w:val="BodyText"/>
              <w:bidi/>
            </w:pPr>
            <w:r>
              <w:rPr>
                <w:rtl/>
                <w:lang w:bidi="ar"/>
              </w:rPr>
              <w:t>- التواصل ومهارات العلاقات الشخصية</w:t>
            </w:r>
          </w:p>
        </w:tc>
      </w:tr>
      <w:tr w:rsidR="00986634" w14:paraId="098D7310" w14:textId="77777777" w:rsidTr="00A43535">
        <w:tc>
          <w:tcPr>
            <w:tcW w:w="4530" w:type="dxa"/>
          </w:tcPr>
          <w:p w14:paraId="34EB36A5" w14:textId="143B269A" w:rsidR="00986634" w:rsidRDefault="00A43535" w:rsidP="00A43535">
            <w:pPr>
              <w:pStyle w:val="BodyText"/>
              <w:bidi/>
            </w:pPr>
            <w:r>
              <w:rPr>
                <w:rtl/>
                <w:lang w:bidi="ar"/>
              </w:rPr>
              <w:t>- التفكير النقدي</w:t>
            </w:r>
          </w:p>
        </w:tc>
        <w:tc>
          <w:tcPr>
            <w:tcW w:w="4530" w:type="dxa"/>
          </w:tcPr>
          <w:p w14:paraId="3E9C3441" w14:textId="38AAAFAF" w:rsidR="00986634" w:rsidRDefault="00A43535" w:rsidP="00A43535">
            <w:pPr>
              <w:pStyle w:val="BodyText"/>
              <w:bidi/>
            </w:pPr>
            <w:r>
              <w:rPr>
                <w:rtl/>
                <w:lang w:bidi="ar"/>
              </w:rPr>
              <w:t>- العمل كفريق والتعاون</w:t>
            </w:r>
          </w:p>
        </w:tc>
      </w:tr>
      <w:tr w:rsidR="00986634" w14:paraId="4D9C2E28" w14:textId="77777777" w:rsidTr="00A43535">
        <w:tc>
          <w:tcPr>
            <w:tcW w:w="4530" w:type="dxa"/>
          </w:tcPr>
          <w:p w14:paraId="1283F14D" w14:textId="2C1928A4" w:rsidR="00986634" w:rsidRDefault="00A43535" w:rsidP="00A43535">
            <w:pPr>
              <w:pStyle w:val="BodyText"/>
              <w:bidi/>
            </w:pPr>
            <w:r>
              <w:rPr>
                <w:rtl/>
                <w:lang w:bidi="ar"/>
              </w:rPr>
              <w:t>- القراءة والكتابة، والحساب، والمعرفة الرقمية</w:t>
            </w:r>
          </w:p>
        </w:tc>
        <w:tc>
          <w:tcPr>
            <w:tcW w:w="4530" w:type="dxa"/>
          </w:tcPr>
          <w:p w14:paraId="6ACCCB32" w14:textId="5634AF3E" w:rsidR="00986634" w:rsidRDefault="00A43535" w:rsidP="00A43535">
            <w:pPr>
              <w:pStyle w:val="BodyText"/>
              <w:bidi/>
            </w:pPr>
            <w:r>
              <w:rPr>
                <w:rtl/>
                <w:lang w:bidi="ar"/>
              </w:rPr>
              <w:t>- القدرة على التكيف والمرونة</w:t>
            </w:r>
          </w:p>
        </w:tc>
      </w:tr>
      <w:tr w:rsidR="00986634" w14:paraId="4922456D" w14:textId="77777777" w:rsidTr="00A43535">
        <w:tc>
          <w:tcPr>
            <w:tcW w:w="4530" w:type="dxa"/>
          </w:tcPr>
          <w:p w14:paraId="7BA38B12" w14:textId="1F9A93DA" w:rsidR="00986634" w:rsidRDefault="00A43535" w:rsidP="00A43535">
            <w:pPr>
              <w:pStyle w:val="BodyText"/>
              <w:bidi/>
            </w:pPr>
            <w:r>
              <w:rPr>
                <w:rtl/>
                <w:lang w:bidi="ar"/>
              </w:rPr>
              <w:t>- حل المشاكل</w:t>
            </w:r>
          </w:p>
        </w:tc>
        <w:tc>
          <w:tcPr>
            <w:tcW w:w="4530" w:type="dxa"/>
          </w:tcPr>
          <w:p w14:paraId="4C1B29E0" w14:textId="601FA730" w:rsidR="00986634" w:rsidRDefault="00A43535" w:rsidP="00A43535">
            <w:pPr>
              <w:pStyle w:val="BodyText"/>
              <w:bidi/>
            </w:pPr>
            <w:r>
              <w:rPr>
                <w:rtl/>
                <w:lang w:bidi="ar"/>
              </w:rPr>
              <w:t>- المبادرة</w:t>
            </w:r>
          </w:p>
        </w:tc>
      </w:tr>
      <w:tr w:rsidR="00986634" w14:paraId="68EBA779" w14:textId="77777777" w:rsidTr="00A43535">
        <w:tc>
          <w:tcPr>
            <w:tcW w:w="4530" w:type="dxa"/>
          </w:tcPr>
          <w:p w14:paraId="42CE3246" w14:textId="6B81D9CF" w:rsidR="00986634" w:rsidRDefault="00A43535" w:rsidP="00A43535">
            <w:pPr>
              <w:pStyle w:val="BodyText"/>
              <w:bidi/>
            </w:pPr>
            <w:r>
              <w:rPr>
                <w:rtl/>
                <w:lang w:bidi="ar"/>
              </w:rPr>
              <w:t>- الاستجابة الثقافية</w:t>
            </w:r>
          </w:p>
        </w:tc>
        <w:tc>
          <w:tcPr>
            <w:tcW w:w="4530" w:type="dxa"/>
          </w:tcPr>
          <w:p w14:paraId="7B6B92CC" w14:textId="60597796" w:rsidR="00986634" w:rsidRDefault="00A43535" w:rsidP="00A43535">
            <w:pPr>
              <w:pStyle w:val="BodyText"/>
              <w:bidi/>
            </w:pPr>
            <w:r>
              <w:rPr>
                <w:rtl/>
                <w:lang w:bidi="ar"/>
              </w:rPr>
              <w:t>- التخطيط والتنظيم</w:t>
            </w:r>
          </w:p>
        </w:tc>
      </w:tr>
      <w:tr w:rsidR="00986634" w14:paraId="7640775F" w14:textId="77777777" w:rsidTr="00A43535">
        <w:tc>
          <w:tcPr>
            <w:tcW w:w="4530" w:type="dxa"/>
          </w:tcPr>
          <w:p w14:paraId="3384C777" w14:textId="2AA532E2" w:rsidR="00986634" w:rsidRDefault="00A43535" w:rsidP="00A43535">
            <w:pPr>
              <w:pStyle w:val="BodyText"/>
              <w:bidi/>
            </w:pPr>
            <w:r>
              <w:rPr>
                <w:rtl/>
                <w:lang w:bidi="ar"/>
              </w:rPr>
              <w:t>- النزاهة الأخلاقية</w:t>
            </w:r>
          </w:p>
        </w:tc>
        <w:tc>
          <w:tcPr>
            <w:tcW w:w="4530" w:type="dxa"/>
          </w:tcPr>
          <w:p w14:paraId="07E4F966" w14:textId="77777777" w:rsidR="00986634" w:rsidRDefault="00986634" w:rsidP="00A43535">
            <w:pPr>
              <w:pStyle w:val="BodyText"/>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pPr>
        <w:bidi/>
      </w:pPr>
      <w:r>
        <w:separator/>
      </w:r>
    </w:p>
  </w:endnote>
  <w:endnote w:type="continuationSeparator" w:id="0">
    <w:p w14:paraId="430A862E" w14:textId="77777777" w:rsidR="0085724B" w:rsidRDefault="0085724B" w:rsidP="00127DAD">
      <w:pPr>
        <w:bidi/>
      </w:pPr>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C95D" w14:textId="77777777" w:rsidR="008F4C90" w:rsidRDefault="008F4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bidi/>
    </w:pPr>
    <w:r>
      <w:tab/>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t>D24/0257459</w:t>
        </w:r>
      </w:sdtContent>
    </w:sdt>
  </w:p>
  <w:p w14:paraId="3CC1B870" w14:textId="77777777" w:rsidR="000F6D5A" w:rsidRPr="008626AA" w:rsidRDefault="008626AA" w:rsidP="008626AA">
    <w:pPr>
      <w:pStyle w:val="Footer"/>
      <w:bidi/>
    </w:pPr>
    <w:r>
      <w:tab/>
    </w:r>
    <w:r>
      <w:rPr>
        <w:rtl/>
      </w:rPr>
      <w:fldChar w:fldCharType="begin"/>
    </w:r>
    <w:r>
      <w:instrText xml:space="preserve"> PAGE   \* MERGEFORMAT </w:instrText>
    </w:r>
    <w:r>
      <w:rPr>
        <w:rtl/>
      </w:rPr>
      <w:fldChar w:fldCharType="separate"/>
    </w:r>
    <w:r>
      <w:rPr>
        <w:noProof/>
        <w:rtl/>
        <w:lang w:bidi="ar"/>
      </w:rPr>
      <w:t>2</w:t>
    </w:r>
    <w:r>
      <w:rPr>
        <w:rtl/>
        <w:lang w:bidi="ar"/>
      </w:rPr>
      <w:fldChar w:fldCharType="end"/>
    </w:r>
    <w:r>
      <w:rPr>
        <w:rtl/>
        <w:lang w:bidi="ar"/>
      </w:rP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rtl/>
            <w:lang w:bidi="ar"/>
          </w:rPr>
          <w:t>[</w:t>
        </w:r>
        <w:r>
          <w:rPr>
            <w:rStyle w:val="PlaceholderText"/>
            <w:color w:val="A7A7A7"/>
          </w:rPr>
          <w:t>Publish date</w:t>
        </w:r>
        <w:r>
          <w:rPr>
            <w:rStyle w:val="PlaceholderText"/>
            <w:color w:val="A7A7A7"/>
            <w:rtl/>
            <w:lang w:bidi="a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bidi/>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D24/0257459</w:t>
        </w:r>
      </w:sdtContent>
    </w:sdt>
  </w:p>
  <w:p w14:paraId="0E2C46A7" w14:textId="7C8E341A" w:rsidR="00AF71AF" w:rsidRPr="001E1668" w:rsidRDefault="00440775" w:rsidP="001E1668">
    <w:pPr>
      <w:pStyle w:val="Footer"/>
      <w:bidi/>
    </w:pPr>
    <w:r>
      <w:tab/>
    </w:r>
    <w:r>
      <w:tab/>
    </w:r>
    <w:r>
      <w:rPr>
        <w:sz w:val="18"/>
        <w:szCs w:val="14"/>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pPr>
        <w:bidi/>
      </w:pPr>
      <w:r>
        <w:separator/>
      </w:r>
    </w:p>
  </w:footnote>
  <w:footnote w:type="continuationSeparator" w:id="0">
    <w:p w14:paraId="1FF54774" w14:textId="77777777" w:rsidR="0085724B" w:rsidRDefault="0085724B" w:rsidP="00127DAD">
      <w:pPr>
        <w:bidi/>
      </w:pPr>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8F1A" w14:textId="77777777" w:rsidR="008F4C90" w:rsidRDefault="008F4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428DBD3" w:rsidR="00916AF7" w:rsidRDefault="00F23B19" w:rsidP="005B4CE5">
    <w:pPr>
      <w:pStyle w:val="Header"/>
      <w:tabs>
        <w:tab w:val="clear" w:pos="4513"/>
        <w:tab w:val="clear" w:pos="9026"/>
        <w:tab w:val="left" w:pos="2970"/>
      </w:tabs>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3D425C89" wp14:editId="2FC45E98">
              <wp:simplePos x="0" y="0"/>
              <wp:positionH relativeFrom="rightMargin">
                <wp:posOffset>-257175</wp:posOffset>
              </wp:positionH>
              <wp:positionV relativeFrom="paragraph">
                <wp:posOffset>-205740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35E4C13F" w14:textId="77777777" w:rsidR="00F23B19" w:rsidRDefault="00F23B19" w:rsidP="00F23B19">
                          <w:pPr>
                            <w:rPr>
                              <w:color w:val="404040" w:themeColor="text1" w:themeTint="BF"/>
                              <w:sz w:val="18"/>
                              <w:szCs w:val="16"/>
                            </w:rPr>
                          </w:pPr>
                          <w:r>
                            <w:rPr>
                              <w:color w:val="404040" w:themeColor="text1" w:themeTint="BF"/>
                              <w:sz w:val="18"/>
                              <w:szCs w:val="16"/>
                            </w:rPr>
                            <w:t>Arabic</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25C89" id="_x0000_t202" coordsize="21600,21600" o:spt="202" path="m,l,21600r21600,l21600,xe">
              <v:stroke joinstyle="miter"/>
              <v:path gradientshapeok="t" o:connecttype="rect"/>
            </v:shapetype>
            <v:shape id="Text Box 1" o:spid="_x0000_s1026" type="#_x0000_t202" style="position:absolute;left:0;text-align:left;margin-left:-20.25pt;margin-top:-16.2pt;width:48.75pt;height:18.05pt;z-index:25166029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" filled="f" stroked="f">
              <v:textbox style="mso-fit-shape-to-text:t">
                <w:txbxContent>
                  <w:p w14:paraId="35E4C13F" w14:textId="77777777" w:rsidR="00F23B19" w:rsidRDefault="00F23B19" w:rsidP="00F23B19">
                    <w:pPr>
                      <w:rPr>
                        <w:color w:val="404040" w:themeColor="text1" w:themeTint="BF"/>
                        <w:sz w:val="18"/>
                        <w:szCs w:val="16"/>
                      </w:rPr>
                    </w:pPr>
                    <w:r>
                      <w:rPr>
                        <w:color w:val="404040" w:themeColor="text1" w:themeTint="BF"/>
                        <w:sz w:val="18"/>
                        <w:szCs w:val="16"/>
                      </w:rPr>
                      <w:t>Arabic</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E20C6"/>
    <w:rsid w:val="006F639D"/>
    <w:rsid w:val="00704733"/>
    <w:rsid w:val="007343DF"/>
    <w:rsid w:val="007358C4"/>
    <w:rsid w:val="00753103"/>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06F3B"/>
    <w:rsid w:val="00D14913"/>
    <w:rsid w:val="00D21BAC"/>
    <w:rsid w:val="00D30638"/>
    <w:rsid w:val="00D30C69"/>
    <w:rsid w:val="00D40239"/>
    <w:rsid w:val="00D530DE"/>
    <w:rsid w:val="00D54440"/>
    <w:rsid w:val="00D544F4"/>
    <w:rsid w:val="00D65750"/>
    <w:rsid w:val="00D76ABF"/>
    <w:rsid w:val="00D846C7"/>
    <w:rsid w:val="00DA1B75"/>
    <w:rsid w:val="00DA347E"/>
    <w:rsid w:val="00DC188E"/>
    <w:rsid w:val="00DD5BF0"/>
    <w:rsid w:val="00DE3892"/>
    <w:rsid w:val="00E125A6"/>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3B19"/>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F43C2"/>
    <w:rsid w:val="00462B0A"/>
    <w:rsid w:val="004C60B5"/>
    <w:rsid w:val="005966D5"/>
    <w:rsid w:val="00624B3C"/>
    <w:rsid w:val="006E20C6"/>
    <w:rsid w:val="00716BF8"/>
    <w:rsid w:val="00797033"/>
    <w:rsid w:val="00991E2F"/>
    <w:rsid w:val="00A545FA"/>
    <w:rsid w:val="00AC3DD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89D9D-5CC8-4AE9-B0CA-45939157D9AD}"/>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cp:revision>
  <cp:lastPrinted>2025-04-09T01:24:00Z</cp:lastPrinted>
  <dcterms:created xsi:type="dcterms:W3CDTF">2025-04-09T01:23:00Z</dcterms:created>
  <dcterms:modified xsi:type="dcterms:W3CDTF">2025-04-09T01:26:00Z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