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val="pa"/>
        </w:rPr>
        <w:t>11ਵੀਂ</w:t>
      </w:r>
      <w:r>
        <w:rPr>
          <w:b w:val="0"/>
          <w:lang w:val="pa"/>
        </w:rPr>
        <w:t xml:space="preserve"> </w:t>
      </w:r>
      <w:r>
        <w:rPr>
          <w:bCs/>
          <w:lang w:val="pa"/>
        </w:rPr>
        <w:t>ਅਤੇ 12ਵੀਂ ਜਮਾਤਾਂ</w:t>
      </w:r>
      <w:r>
        <w:rPr>
          <w:b w:val="0"/>
          <w:lang w:val="pa"/>
        </w:rPr>
        <w:t xml:space="preserve"> </w:t>
      </w:r>
      <w:r>
        <w:rPr>
          <w:bCs/>
          <w:lang w:val="pa"/>
        </w:rPr>
        <w:t>ਲਈ ਚੋਣਾਂ</w:t>
      </w:r>
      <w:r>
        <w:rPr>
          <w:b w:val="0"/>
          <w:lang w:val="pa"/>
        </w:rPr>
        <w:t xml:space="preserve"> </w:t>
      </w:r>
      <w:r>
        <w:rPr>
          <w:bCs/>
          <w:lang w:val="pa"/>
        </w:rPr>
        <w:t>ਕਰਨਾ</w:t>
      </w:r>
    </w:p>
    <w:p w14:paraId="0D8B47A9" w14:textId="34D8B4A9" w:rsidR="00F926A5" w:rsidRPr="00AC269B" w:rsidRDefault="00F926A5" w:rsidP="00733C11">
      <w:pPr>
        <w:pStyle w:val="Title"/>
        <w:rPr>
          <w:bCs/>
        </w:rPr>
      </w:pPr>
      <w:r>
        <w:rPr>
          <w:bCs/>
          <w:color w:val="auto"/>
          <w:sz w:val="36"/>
          <w:szCs w:val="36"/>
          <w:lang w:val="pa"/>
        </w:rPr>
        <w:t>ਮਾਤਾ</w:t>
      </w:r>
      <w:r>
        <w:rPr>
          <w:b w:val="0"/>
          <w:color w:val="auto"/>
          <w:sz w:val="36"/>
          <w:szCs w:val="36"/>
          <w:lang w:val="pa"/>
        </w:rPr>
        <w:t>-</w:t>
      </w:r>
      <w:r>
        <w:rPr>
          <w:bCs/>
          <w:color w:val="auto"/>
          <w:sz w:val="36"/>
          <w:szCs w:val="36"/>
          <w:lang w:val="pa"/>
        </w:rPr>
        <w:t>ਪਿਤਾ</w:t>
      </w:r>
      <w:r>
        <w:rPr>
          <w:b w:val="0"/>
          <w:color w:val="auto"/>
          <w:sz w:val="36"/>
          <w:szCs w:val="36"/>
          <w:lang w:val="pa"/>
        </w:rPr>
        <w:t xml:space="preserve"> </w:t>
      </w:r>
      <w:r>
        <w:rPr>
          <w:bCs/>
          <w:color w:val="auto"/>
          <w:sz w:val="36"/>
          <w:szCs w:val="36"/>
          <w:lang w:val="pa"/>
        </w:rPr>
        <w:t>ਅਤੇ</w:t>
      </w:r>
      <w:r>
        <w:rPr>
          <w:b w:val="0"/>
          <w:color w:val="auto"/>
          <w:sz w:val="36"/>
          <w:szCs w:val="36"/>
          <w:lang w:val="pa"/>
        </w:rPr>
        <w:t xml:space="preserve"> </w:t>
      </w:r>
      <w:r>
        <w:rPr>
          <w:bCs/>
          <w:color w:val="auto"/>
          <w:sz w:val="36"/>
          <w:szCs w:val="36"/>
          <w:lang w:val="pa"/>
        </w:rPr>
        <w:t>ਦੇਖਭਾਲ</w:t>
      </w:r>
      <w:r>
        <w:rPr>
          <w:b w:val="0"/>
          <w:color w:val="auto"/>
          <w:sz w:val="36"/>
          <w:szCs w:val="36"/>
          <w:lang w:val="pa"/>
        </w:rPr>
        <w:t xml:space="preserve"> </w:t>
      </w:r>
      <w:r>
        <w:rPr>
          <w:bCs/>
          <w:color w:val="auto"/>
          <w:sz w:val="36"/>
          <w:szCs w:val="36"/>
          <w:lang w:val="pa"/>
        </w:rPr>
        <w:t>ਕਰਨ</w:t>
      </w:r>
      <w:r>
        <w:rPr>
          <w:b w:val="0"/>
          <w:color w:val="auto"/>
          <w:sz w:val="36"/>
          <w:szCs w:val="36"/>
          <w:lang w:val="pa"/>
        </w:rPr>
        <w:t xml:space="preserve"> </w:t>
      </w:r>
      <w:r>
        <w:rPr>
          <w:bCs/>
          <w:color w:val="auto"/>
          <w:sz w:val="36"/>
          <w:szCs w:val="36"/>
          <w:lang w:val="pa"/>
        </w:rPr>
        <w:t>ਵਾਲਿਆਂ</w:t>
      </w:r>
      <w:r>
        <w:rPr>
          <w:b w:val="0"/>
          <w:color w:val="auto"/>
          <w:sz w:val="36"/>
          <w:szCs w:val="36"/>
          <w:lang w:val="pa"/>
        </w:rPr>
        <w:t xml:space="preserve"> </w:t>
      </w:r>
      <w:r>
        <w:rPr>
          <w:bCs/>
          <w:color w:val="auto"/>
          <w:sz w:val="36"/>
          <w:szCs w:val="36"/>
          <w:lang w:val="pa"/>
        </w:rPr>
        <w:t>ਲਈ</w:t>
      </w:r>
      <w:r>
        <w:rPr>
          <w:b w:val="0"/>
          <w:color w:val="auto"/>
          <w:sz w:val="36"/>
          <w:szCs w:val="36"/>
          <w:lang w:val="pa"/>
        </w:rPr>
        <w:t xml:space="preserve"> </w:t>
      </w:r>
      <w:r>
        <w:rPr>
          <w:bCs/>
          <w:color w:val="auto"/>
          <w:sz w:val="36"/>
          <w:szCs w:val="36"/>
          <w:lang w:val="pa"/>
        </w:rPr>
        <w:t>ਜਾਣਕਾਰੀ</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pa"/>
        </w:rPr>
        <w:t>ਵਿਦਿਆਰਥੀ ਯੂਨੀਵਰਸਿਟੀ ਦੀ ਪੜ੍ਹਾਈ ਵਿੱਚ ਦਿਲਚਸਪੀ ਲੈ ਸਕਦੇ ਹਨ, ਉਨ੍ਹਾਂ ਦੇ ਦਿਮਾਗ ਵਿੱਚ ਕੋਈ ਖਾਸ ਪੇਸ਼ਾ ਹੋ ਸਕਦਾ ਹੈ ਜਿਸ ਵਿੱਚ ਹੋਰ ਪੜ੍ਹਾਈ ਅਤੇ ਟ੍ਰੇਨਿੰਗ ਦੀ ਲੋੜ ਹੋਵੇ, ਜਾਂ ਸਕੂਲ ਦੀ ਪੜ੍ਹਾਈ ਮੁਕਾਉਣ ਤੋਂ ਬਾਅਦ ਕੰਮ ਦੇ ਖੇਤਰ ਵਿੱਚ ਜਾਣ ਦੀ ਇੱਛਾ ਰੱਖ ਸਕਦੇ ਹਨ। ਵਿਦਿਆਰਥੀ 11ਵੀਂ ਅਤੇ 12ਵੀਂ ਜਮਾਤ ਵਿੱਚ ਬਹੁਤ ਸਾਰੇ ਵਿਕਲਪਾਂ ਵਿੱਚੋਂ ਚੋਣ ਕਰ ਸਕਦੇ ਹਨ ਜੋ ਯੂਨੀਵਰਸਿਟੀ, ਸਿਖਲਾਈ ਅਤੇ ਰੁਜ਼ਗਾਰ ਦੇ ਕਈ ਰਸਤੇ ਪ੍ਰਦਾਨ ਕਰਦੇ ਹਨ।</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pa"/>
        </w:rPr>
        <w:t>11ਵੀਂ ਅਤੇ 12ਵੀਂ ਜਮਾਤ</w:t>
      </w:r>
      <w:r>
        <w:rPr>
          <w:rFonts w:eastAsia="Arial"/>
          <w:color w:val="592C82"/>
          <w:sz w:val="26"/>
          <w:szCs w:val="22"/>
          <w:lang w:val="pa"/>
        </w:rPr>
        <w:t xml:space="preserve"> </w:t>
      </w:r>
      <w:r>
        <w:rPr>
          <w:rFonts w:eastAsia="Arial"/>
          <w:b/>
          <w:bCs/>
          <w:color w:val="592C82"/>
          <w:sz w:val="26"/>
          <w:szCs w:val="22"/>
          <w:lang w:val="pa"/>
        </w:rPr>
        <w:t>ਦੇ</w:t>
      </w:r>
      <w:r>
        <w:rPr>
          <w:rFonts w:eastAsia="Arial"/>
          <w:color w:val="592C82"/>
          <w:sz w:val="26"/>
          <w:szCs w:val="22"/>
          <w:lang w:val="pa"/>
        </w:rPr>
        <w:t xml:space="preserve"> </w:t>
      </w:r>
      <w:r>
        <w:rPr>
          <w:rFonts w:eastAsia="Arial"/>
          <w:b/>
          <w:bCs/>
          <w:color w:val="592C82"/>
          <w:sz w:val="26"/>
          <w:szCs w:val="22"/>
          <w:lang w:val="pa"/>
        </w:rPr>
        <w:t>ਵਿਦਿਆਰਥੀਆਂ</w:t>
      </w:r>
      <w:r>
        <w:rPr>
          <w:rFonts w:eastAsia="Arial"/>
          <w:color w:val="592C82"/>
          <w:sz w:val="26"/>
          <w:szCs w:val="22"/>
          <w:lang w:val="pa"/>
        </w:rPr>
        <w:t xml:space="preserve"> </w:t>
      </w:r>
      <w:r>
        <w:rPr>
          <w:rFonts w:eastAsia="Arial"/>
          <w:b/>
          <w:bCs/>
          <w:color w:val="592C82"/>
          <w:sz w:val="26"/>
          <w:szCs w:val="22"/>
          <w:lang w:val="pa"/>
        </w:rPr>
        <w:t>ਲਈ</w:t>
      </w:r>
      <w:r>
        <w:rPr>
          <w:rFonts w:eastAsia="Arial"/>
          <w:color w:val="592C82"/>
          <w:sz w:val="26"/>
          <w:szCs w:val="22"/>
          <w:lang w:val="pa"/>
        </w:rPr>
        <w:t xml:space="preserve"> </w:t>
      </w:r>
      <w:r>
        <w:rPr>
          <w:rFonts w:eastAsia="Arial"/>
          <w:b/>
          <w:bCs/>
          <w:color w:val="592C82"/>
          <w:sz w:val="26"/>
          <w:szCs w:val="22"/>
          <w:lang w:val="pa"/>
        </w:rPr>
        <w:t>ਕੋਰਸ</w:t>
      </w:r>
      <w:r>
        <w:rPr>
          <w:rFonts w:eastAsia="Arial"/>
          <w:color w:val="592C82"/>
          <w:sz w:val="26"/>
          <w:szCs w:val="22"/>
          <w:lang w:val="pa"/>
        </w:rPr>
        <w:t xml:space="preserve"> </w:t>
      </w:r>
      <w:r>
        <w:rPr>
          <w:rFonts w:eastAsia="Arial"/>
          <w:b/>
          <w:bCs/>
          <w:color w:val="592C82"/>
          <w:sz w:val="26"/>
          <w:szCs w:val="22"/>
          <w:lang w:val="pa"/>
        </w:rPr>
        <w:t>ਅਤੇ</w:t>
      </w:r>
      <w:r>
        <w:rPr>
          <w:rFonts w:eastAsia="Arial"/>
          <w:color w:val="592C82"/>
          <w:sz w:val="26"/>
          <w:szCs w:val="22"/>
          <w:lang w:val="pa"/>
        </w:rPr>
        <w:t xml:space="preserve"> </w:t>
      </w:r>
      <w:r>
        <w:rPr>
          <w:rFonts w:eastAsia="Arial"/>
          <w:b/>
          <w:bCs/>
          <w:color w:val="592C82"/>
          <w:sz w:val="26"/>
          <w:szCs w:val="22"/>
          <w:lang w:val="pa"/>
        </w:rPr>
        <w:t>ਪ੍ਰੋਗਰਾਮ</w:t>
      </w:r>
      <w:r>
        <w:rPr>
          <w:rFonts w:eastAsia="Arial"/>
          <w:color w:val="592C82"/>
          <w:sz w:val="26"/>
          <w:szCs w:val="22"/>
          <w:lang w:val="pa"/>
        </w:rPr>
        <w:t xml:space="preserve"> </w:t>
      </w:r>
      <w:r>
        <w:rPr>
          <w:rFonts w:eastAsia="Arial"/>
          <w:b/>
          <w:bCs/>
          <w:color w:val="592C82"/>
          <w:sz w:val="26"/>
          <w:szCs w:val="22"/>
          <w:lang w:val="pa"/>
        </w:rPr>
        <w:t>ਦੇ</w:t>
      </w:r>
      <w:r>
        <w:rPr>
          <w:rFonts w:eastAsia="Arial"/>
          <w:color w:val="592C82"/>
          <w:sz w:val="26"/>
          <w:szCs w:val="22"/>
          <w:lang w:val="pa"/>
        </w:rPr>
        <w:t xml:space="preserve"> </w:t>
      </w:r>
      <w:r>
        <w:rPr>
          <w:rFonts w:eastAsia="Arial"/>
          <w:b/>
          <w:bCs/>
          <w:color w:val="592C82"/>
          <w:sz w:val="26"/>
          <w:szCs w:val="22"/>
          <w:lang w:val="pa"/>
        </w:rPr>
        <w:t>ਵਿਕਲਪ</w:t>
      </w:r>
    </w:p>
    <w:p w14:paraId="0EF80CEA" w14:textId="77777777" w:rsidR="005007C0" w:rsidRDefault="005007C0" w:rsidP="005007C0"/>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pa"/>
              </w:rPr>
              <w:t>ਵਿਕਲਪ</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pa"/>
              </w:rPr>
              <w:t>ਵੇਰਵਾ</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pa"/>
              </w:rPr>
              <w:t>ATAR ਕੋਰਸ</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pa"/>
              </w:rPr>
              <w:t>'ਆਸਟ੍ਰੇਲੀਆ ਟਰਸ਼ਰੀ ਐਡਮਿਸ਼ਨ ਰੈਂਕ' (ATAR) ਕੋਰਸਾਂ ਦਾ ਕੇਂਦਰ ਆਮ ਤੋਰ 'ਤੇ ਅਕਾਦਮਿਕ ਹੁੰਦਾ ਹੈ। ATAR ਹਾਸਲ ਕਰਨ ਦੇ ਚਾਹਵਾਨ ਵਿਦਿਆਰਥੀਆਂ ਨੂੰ 12ਵੀਂ ਜਮਾਤ ਦੇ ਘੱਟ ਤੋਂ ਘੱਟ 4 ATAR ਕੋਰਸ ਪੂਰੇ ਕਰਨੇ ਪੈਂਦੇ ਹਨ। ਭਾਵੇਂ ATAR ਕੋਰਸ ਆਮ ਤੌਰ 'ਤੇ ਯੂਨੀਵਰਸਿਟੀ ਵਿੱਚ ਵਿਦਿਆ ਹਾਸਲ ਕਰਨ ਲਈ ਕੀਤੇ ਜਾਂਦੇ ਹਨ, ਇਨ੍ਹਾਂ ਨਾਲ ਕਈ ਪੋਸਟ-ਸੈਕੰਡਰੀ ਰਸਤਿਆਂ ਦੀ ਤਿਆਰੀ ਵੀ ਬਹੁਤ ਵਧੀਆ ਹੁੰਦੀ ਹੈ ਜਿਸ ਵਿੱਚ ਕਿੱਤਾਮੁਖੀ ਸਿਖਲਾਈ ਵੀ ਸ਼ਾਮਲ ਹੈ।</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pa"/>
              </w:rPr>
              <w:t>ਜਨਰਲ</w:t>
            </w:r>
            <w:r>
              <w:rPr>
                <w:b w:val="0"/>
                <w:bCs w:val="0"/>
                <w:lang w:val="pa"/>
              </w:rPr>
              <w:t xml:space="preserve"> </w:t>
            </w:r>
            <w:r>
              <w:rPr>
                <w:lang w:val="pa"/>
              </w:rPr>
              <w:t>ਕੋਰਸ</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pa"/>
              </w:rPr>
              <w:t>ਇਹ ਕੋਰਸ ਮੁੱਖ ਤੌਰ 'ਤੇ ਉਨ੍ਹਾਂ ਵਿਦਿਆਰਥੀਆਂ ਲਈ ਹਨ ਜਿਨ੍ਹਾਂ ਦਾ ਟੀਚਾ ਅਕਸਰ ਵਧੀਕ ਕਿੱਤਾਮੁਖੀ ਸਿਖਲਾਈ ਹੋਵੇ ਜਾਂ ਉਹ ਸਕੂਲੀ ਵਿਦਿਆ ਪੂਰੀ ਕਰਨ ਤੋਂ ਬਾਅਦ ਸਿੱਧਾ ਕੰਮ ਵਿੱਚ ਲੱਗਣਾ ਚਾਹੁੰਦੇ ਹੋਣ। ਜਨਰਲ ਕੋਰਸਾਂ ਵਿੱਚ ATAR ਕੋਰਸਾਂ ਵਾਂਗ ਬਾਹਰੋਂ ਤੈਅ ਹੋਇਆ ਟੈਸਟ ਨਹੀਂ ਹੁੰਦਾ, ਪਰ ਇਸ ਵਿੱਚ 12ਵੀਂ ਜਮਾਤ ਵਿੱਚ ਇੱਕ ਬਾਹਰੀ ਸੈਂਟ ਹੋਇਆ ਟਾਸਕ ਜ਼ਰੂਰ ਹੁੰਦਾ ਹੈ ਜੋ ਵਿਦਿਆਰਥੀ ਦੀ ਪੂਰੀ ਅਸੈਸਮੈਂਟ (ਮੁਲਾਂਕਣ) ਦਾ 15% ਹੁੰਦਾ ਹੈ। ਵਿਦਿਆਰਥੀ ਕੁਝ ਜਨਰਲ ਕੋਰਸਾਂ ਦੀ ਬਦਲ ਵਜੋਂ, ਜਾਂ ਕੁਝ ਯੂਨੀਵਰਸਿਟੀ ਕੋਰਸਾਂ ਵਿੱਚ ਦਾਖਲੇ ਸੰਬੰਧੀ ਯੋਗਤਾ ਦੇ ਰਸਤੇ ਲਈ ਵਰਤੋਂ ਕਰ ਸਕਦੇ ਹਨ।</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pa"/>
              </w:rPr>
              <w:t>ਫਾਉਂਡੇਸ਼ਨ</w:t>
            </w:r>
            <w:r>
              <w:rPr>
                <w:b w:val="0"/>
                <w:bCs w:val="0"/>
                <w:lang w:val="pa"/>
              </w:rPr>
              <w:t xml:space="preserve"> </w:t>
            </w:r>
            <w:r>
              <w:rPr>
                <w:lang w:val="pa"/>
              </w:rPr>
              <w:t>ਕੋਰਸ</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pa"/>
              </w:rPr>
              <w:t>ਉਨ੍ਹਾਂ ਵਿਦਿਾਰਥਈ ਲਈ ਬਣਾਏ ਗਏ ਹਨ ਜਿਨ੍ਹਾਂ ਨੂੰ 12ਵੀਂ ਜਮਾਤ ਖਤਮ ਹੋਣ ਤੋਂ ਪਹਿਲਾਂ ਸਾਖਰਤਾ ਅਤੇ/ਜਾਂ ਗਣਿਤ ਦੀ ਸੂਝਬੂਝ ਵਿੱਚ ਘੱਟ ਤੋਂ ਘੱਟ ਪੱਧਰ ਹਾਸਲ ਕਰਨ ਵਿੱਚ ਸਹਾਇਤਾ ਦੀ ਲੋੜ ਹੋਵੇ। ਇਹ ਕੋਰਸ ਰੋਜ਼ਾਨਾ ਵਰਤੋਂ ਵਿੱਚ ਆਉਣ ਵਾਲੀ ਸਾਖਰਤਾ ਅਤੇ ਗਣਿਤ ਦੇ ਗਿਆਨ, ਵਿਹਾਰੀ ਕੰਮ ਨਾਲ ਜੁੜੇ ਤਜਰਬੇ ਅਤੇ ਨਿਜੀ ਹੁਨਰ ਨੂੰ ਵਿਕਸਿਤ ਕਰਨ ਦੇ ਮੌਕੇ ਉੱਤੇ ਕੇਂਦਰਿਤ ਹੁੰਦੇ ਹਨ, ਜੋ ਜੀਵਨ ਅਤੇ ਕੰਮ ਲਈ ਜ਼ਰੂਰੀ ਹਨ।</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pa"/>
              </w:rPr>
              <w:t>ਫਾਉਂਡੇਸ਼ਨ ਕੋਰਸਾਂ ਵਿੱਚ ਪ੍ਰੀਖਿਆ ਨਹੀਂ ਹੁੰਦੀ, ਇਨ੍ਹਾਂ ਵਿੱਚ 12ਵੀਂ ਜਮਾਤ ਵਿੱਚ ਇੱਕ ਬਾਹਰੋਂ ਤੈਅ ਹੋਇਆ ਟਾਸਕ ਜ਼ਰੂਰੀ ਹੁੰਦਾ ਹੈ ਜੋ ਵਿਦਿਆਰਥੀ ਦੀ ਸਕੂਲ ਅਧਾਰਿਤ ਕੋਰਸ ਅਸੈਸਮੈਂਟ (ਮੁਲਾਂਕਣ) ਦਾ 15% ਹੁੰਦਾ ਹੈ।</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pa"/>
              </w:rPr>
              <w:lastRenderedPageBreak/>
              <w:t>VET ਯੋਗਤਾਵਾਂ</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pa"/>
              </w:rPr>
              <w:t>ਵਿਦਿਆਰਥੀ ਰਾਸ਼ਟਰੀ ਤੌਰ 'ਤੇ ਮਾਨਤਾ ਪ੍ਰਾਪਤ ਕਿੱਤਾਮੁਖੀ ਸਿੱਖਿਆ ਅਤੇ ਸਿਖਲਾਈ (VET) ਯੋਗਤਾ ਪੂਰੀ ਕਰਦੇ ਹਨ। VET ਕੰਮ ਦੀ ਥਾਂ ਵਿੱਚ, ਕੰਮ ਦੀ ਥਾਂ ਲਈ ਹੁਨਰ ਅਤੇ ਜਾਣਕਾਰੀ ਦਾ ਸਿਰਜਣ ਕਰਦੀ ਹੈ। ਵੈਸਟਰਨ ਆਸਟ੍ਰੇਲੀਆ ਸਰਟੀਫ਼ਿਕੇਟ ਆਫ ਐਜੂਕੇਸ਼ਨ (WACE) ਦੀ ਪ੍ਰਾਪਤੀ ਲਈ ਵਿਦਿਆਰਥੀ VET ਯੋਗਤਾ ਦੀ ਵਰਤੋਂ ਕਰ ਸਕਦੇ ਹਨ।</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val="pa"/>
              </w:rPr>
              <w:t>ਸਮਰਥਿਤ</w:t>
            </w:r>
            <w:r>
              <w:rPr>
                <w:b w:val="0"/>
                <w:bCs w:val="0"/>
                <w:lang w:val="pa"/>
              </w:rPr>
              <w:t xml:space="preserve"> </w:t>
            </w:r>
            <w:r>
              <w:rPr>
                <w:lang w:val="pa"/>
              </w:rPr>
              <w:t>ਪ੍ਰੋਗਰਾਮ</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pa"/>
              </w:rPr>
              <w:t>ਸਮਰਥਿਤ ਪ੍ਰੋਗਰਾਮ ਗਤੀਵਿਧੀਆਂ ਰਾਹੀਂ ਸਿਖਲਾਈ ਦਿੰਦੇ ਹਨ ਜੋ WACE ਕੋਰਸਾਂ ਜਾਂ VET ਪ੍ਰੋਗਰਾਮਾਂ ਵਿੱਚ ਕਵਰ ਨਹੀਂ ਹੁੰਦੀ। ਸਮਰਥਿਤ ਪ੍ਰੋਗਰਾਮ ਉਨ੍ਹਾਂ ਵਿਦਿਆਰਥੀਆਂ ਲਈ ਹਨ ਜੋ ਸਕੂਲ, ਕੰਮ ਦੀ ਜਗ੍ਹਾ, ਯੂਨੀਵਰਸਿਟੀ ਅਤੇ ਸਮਾਜਕ ਅਦਾਰਿਆਂ ਦੁਆਰਾ ਕਈ ਤਰ੍ਹਾਂ ਦੀਆਂ ਸਥਿਤੀਆਂ ਵਿੱਚ ਪ੍ਰਦਾਨ ਕੀਤੇ ਜਾਂਦੇ ਪ੍ਰੋਗਰਾਮਾਂ ਵਿੱਚ ਹਿੱਸਾ ਲੈਣ ਦੀ ਇੱਛਾ ਰੱਖਦੇ ਹਨ।ਸਮਰਥਿਤ ਪ੍ਰੋਗਰਾਮ ਸਕੂਲ ਦੇ ਪਾਠਕ੍ਰਮ ਦੇ ਹਿੱਸੇ ਵਜੋਂ ਜਾਂ ਹੋਰ ਗਤੀਵਿਧੀਆਂ ਅੰਦਰ ਪ੍ਰਦਾਨ ਕੀਤੇ ਜਾ ਸਕਦੇ ਹਨ ਅਤੇ ਵਿਦਿਆਰਥੀ ਇਨ੍ਹਾਂ ਨੂੰ WACE ਦੀ ਪ੍ਰਾਪਤੀ ਲਈ ਵਰਤ ਸਕਦੇ ਹਨ।</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pa"/>
              </w:rPr>
              <w:t>ਮੁੱਢਲੇ</w:t>
            </w:r>
            <w:r>
              <w:rPr>
                <w:b w:val="0"/>
                <w:bCs w:val="0"/>
                <w:lang w:val="pa"/>
              </w:rPr>
              <w:t xml:space="preserve"> </w:t>
            </w:r>
            <w:r>
              <w:rPr>
                <w:lang w:val="pa"/>
              </w:rPr>
              <w:t>ਕੋਰਸ</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pa"/>
              </w:rPr>
              <w:t>ਮੁੱਢਲੇ ਕੋਰਸ ਉਨ੍ਹਾਂ ਵਿਦਿਆਰਥੀਆਂ ਲਈ ਤਿਆਰ ਕੀਤੇ ਜਾਂਦੇ ਹਨ ਜਿਨ੍ਹਾਂ ਨੂੰ ਸਿੱਖਣ ਵਿੱਚ ਮੁਸ਼ਕਿਲਾਂ ਪੇਸ਼ ਆਉਂਦੀਆਂ ਹੋਣ ਅਤੇ/ਜਾਂ ਦਿਮਾਗੀ ਅਯੋਗਤਾ ਪਾਈ ਗਈ ਹੋਵੇ। ਇਹ ਕੋਰਸ ਉਨ੍ਹਾਂ ਵਿਦਿਆਰਥੀਆਂ ਨੂੰ ਵਿਕਲਪ ਦਿੰਦੇ ਹਨ ਜੋ ATAR, ਜਨਰਲ ਜਾਂ ਫਾਉਂਡੇਸ਼ਨ ਕੋਰਸ ਸਮੱਗਰੀ ਤੱਕ ਫੇਰ-ਬਦਲ ਅਤੇ/ਜਾਂ ਅਪੰਗਤਾ ਛੋਟਾਂ ਅਤੇ ਸਹਿਯੋਗਾਂ ਤੋਂ ਬਾਅਦ ਵੀ ਨਹੀਂ ਪਹੁੰਚ ਸਕਦੇ।</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pa"/>
              </w:rPr>
              <w:t>ਮੁੱਢਲੇ ਯੂਨਿਟ WACE ਪ੍ਰਾਪਤੀ ਵੱਲ ਨਹੀਂ ਗਿਣੇ ਜਾਂਦੇ ਹਨ।</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pa"/>
      </w:rPr>
      <w:tab/>
    </w:r>
    <w:r>
      <w:rPr>
        <w:lang w:val="p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D24/0256674</w:t>
        </w:r>
      </w:sdtContent>
    </w:sdt>
  </w:p>
  <w:p w14:paraId="3CC1B870" w14:textId="0C9C4C4C" w:rsidR="000F6D5A" w:rsidRPr="003E7296" w:rsidRDefault="008626AA" w:rsidP="008626AA">
    <w:pPr>
      <w:pStyle w:val="Footer"/>
      <w:rPr>
        <w:sz w:val="18"/>
        <w:szCs w:val="14"/>
      </w:rPr>
    </w:pPr>
    <w:r>
      <w:rPr>
        <w:sz w:val="18"/>
        <w:szCs w:val="14"/>
        <w:lang w:val="pa"/>
      </w:rPr>
      <w:tab/>
    </w:r>
    <w:r>
      <w:rPr>
        <w:sz w:val="18"/>
        <w:szCs w:val="14"/>
        <w:lang w:val="pa"/>
      </w:rPr>
      <w:fldChar w:fldCharType="begin"/>
    </w:r>
    <w:r>
      <w:rPr>
        <w:sz w:val="18"/>
        <w:szCs w:val="14"/>
        <w:lang w:val="pa"/>
      </w:rPr>
      <w:instrText xml:space="preserve"> PAGE   \* MERGEFORMAT </w:instrText>
    </w:r>
    <w:r>
      <w:rPr>
        <w:sz w:val="18"/>
        <w:szCs w:val="14"/>
        <w:lang w:val="pa"/>
      </w:rPr>
      <w:fldChar w:fldCharType="separate"/>
    </w:r>
    <w:r>
      <w:rPr>
        <w:noProof/>
        <w:sz w:val="18"/>
        <w:szCs w:val="14"/>
        <w:lang w:val="pa"/>
      </w:rPr>
      <w:t>2</w:t>
    </w:r>
    <w:r>
      <w:rPr>
        <w:sz w:val="18"/>
        <w:szCs w:val="14"/>
        <w:lang w:val="pa"/>
      </w:rPr>
      <w:fldChar w:fldCharType="end"/>
    </w:r>
    <w:r>
      <w:rPr>
        <w:sz w:val="18"/>
        <w:szCs w:val="14"/>
        <w:lang w:val="p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D24/0256674</w:t>
        </w:r>
      </w:sdtContent>
    </w:sdt>
  </w:p>
  <w:p w14:paraId="0E2C46A7" w14:textId="0337A0DE" w:rsidR="00AF71AF" w:rsidRPr="00FE0C8C" w:rsidRDefault="00440775" w:rsidP="001E1668">
    <w:pPr>
      <w:pStyle w:val="Footer"/>
      <w:rPr>
        <w:sz w:val="18"/>
        <w:szCs w:val="14"/>
      </w:rPr>
    </w:pPr>
    <w:r>
      <w:rPr>
        <w:color w:val="auto"/>
        <w:sz w:val="18"/>
        <w:szCs w:val="14"/>
        <w:lang w:val="pa"/>
      </w:rPr>
      <w:tab/>
    </w:r>
    <w:r>
      <w:rPr>
        <w:color w:val="auto"/>
        <w:sz w:val="18"/>
        <w:szCs w:val="14"/>
        <w:lang w:val="pa"/>
      </w:rPr>
      <w:tab/>
    </w:r>
    <w:r>
      <w:rPr>
        <w:sz w:val="18"/>
        <w:szCs w:val="14"/>
        <w:lang w:val="p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FEA9D31" w:rsidR="00916AF7" w:rsidRDefault="00AB3302" w:rsidP="00127DAD">
    <w:pPr>
      <w:pStyle w:val="Header"/>
    </w:pPr>
    <w:r>
      <w:rPr>
        <w:noProof/>
      </w:rPr>
      <mc:AlternateContent>
        <mc:Choice Requires="wps">
          <w:drawing>
            <wp:anchor distT="45720" distB="45720" distL="114300" distR="114300" simplePos="0" relativeHeight="251660800" behindDoc="0" locked="0" layoutInCell="1" allowOverlap="1" wp14:anchorId="469D577D" wp14:editId="03563AFC">
              <wp:simplePos x="0" y="0"/>
              <wp:positionH relativeFrom="column">
                <wp:posOffset>5814695</wp:posOffset>
              </wp:positionH>
              <wp:positionV relativeFrom="paragraph">
                <wp:posOffset>-154940</wp:posOffset>
              </wp:positionV>
              <wp:extent cx="60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2CB0C7B1" w14:textId="5323C45A" w:rsidR="00AB3302" w:rsidRPr="00AB3302" w:rsidRDefault="00AB3302">
                          <w:pPr>
                            <w:rPr>
                              <w:color w:val="404040" w:themeColor="text1" w:themeTint="BF"/>
                              <w:sz w:val="18"/>
                              <w:szCs w:val="16"/>
                              <w:lang w:val="en-US"/>
                            </w:rPr>
                          </w:pPr>
                          <w:r w:rsidRPr="00AB3302">
                            <w:rPr>
                              <w:color w:val="404040" w:themeColor="text1" w:themeTint="BF"/>
                              <w:sz w:val="18"/>
                              <w:szCs w:val="16"/>
                              <w:lang w:val="en-US"/>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D577D" id="_x0000_t202" coordsize="21600,21600" o:spt="202" path="m,l,21600r21600,l21600,xe">
              <v:stroke joinstyle="miter"/>
              <v:path gradientshapeok="t" o:connecttype="rect"/>
            </v:shapetype>
            <v:shape id="Text Box 2" o:spid="_x0000_s1026" type="#_x0000_t202" style="position:absolute;margin-left:457.85pt;margin-top:-12.2pt;width:4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Lu+Q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" filled="f" stroked="f">
              <v:textbox style="mso-fit-shape-to-text:t">
                <w:txbxContent>
                  <w:p w14:paraId="2CB0C7B1" w14:textId="5323C45A" w:rsidR="00AB3302" w:rsidRPr="00AB3302" w:rsidRDefault="00AB3302">
                    <w:pPr>
                      <w:rPr>
                        <w:color w:val="404040" w:themeColor="text1" w:themeTint="BF"/>
                        <w:sz w:val="18"/>
                        <w:szCs w:val="16"/>
                        <w:lang w:val="en-US"/>
                      </w:rPr>
                    </w:pPr>
                    <w:r w:rsidRPr="00AB3302">
                      <w:rPr>
                        <w:color w:val="404040" w:themeColor="text1" w:themeTint="BF"/>
                        <w:sz w:val="18"/>
                        <w:szCs w:val="16"/>
                        <w:lang w:val="en-US"/>
                      </w:rPr>
                      <w:t>Punjabi</w:t>
                    </w:r>
                  </w:p>
                </w:txbxContent>
              </v:textbox>
              <w10:wrap type="square"/>
            </v:shape>
          </w:pict>
        </mc:Fallback>
      </mc:AlternateContent>
    </w:r>
    <w:r w:rsidR="00DD5BF0">
      <w:rPr>
        <w:noProof/>
        <w:lang w:val="pa"/>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5BC4"/>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3302"/>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76BC5"/>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D046A"/>
    <w:rsid w:val="00D000C5"/>
    <w:rsid w:val="00E52115"/>
    <w:rsid w:val="00EE7CC0"/>
    <w:rsid w:val="00F76B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9D3B8-7BA1-4F15-8402-65F63402DE7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A2D9C805-7AD8-4979-B0A9-EB9EF313543B}">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d6520638-0d4b-4f10-b9f9-cc818b5e466b"/>
    <ds:schemaRef ds:uri="http://purl.org/dc/elements/1.1/"/>
  </ds:schemaRefs>
</ds:datastoreItem>
</file>

<file path=customXml/itemProps4.xml><?xml version="1.0" encoding="utf-8"?>
<ds:datastoreItem xmlns:ds="http://schemas.openxmlformats.org/officeDocument/2006/customXml" ds:itemID="{C07053F7-ABBB-4A18-BCAA-F847C480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cp:revision>
  <cp:lastPrinted>2025-04-08T23:45:00Z</cp:lastPrinted>
  <dcterms:created xsi:type="dcterms:W3CDTF">2025-02-18T03:29:00Z</dcterms:created>
  <dcterms:modified xsi:type="dcterms:W3CDTF">2025-04-08T23:45:00Z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