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bidi/>
        <w:rPr>
          <w:bCs/>
        </w:rPr>
      </w:pPr>
      <w:bookmarkStart w:id="0" w:name="_Hlk103166844"/>
      <w:bookmarkStart w:id="1" w:name="_Toc84334888"/>
      <w:r>
        <w:rPr>
          <w:bCs/>
          <w:rtl/>
          <w:lang w:bidi="prs-AF"/>
        </w:rPr>
        <w:t xml:space="preserve"> انتخاب ها برای صنوف 11 و 12</w:t>
      </w:r>
    </w:p>
    <w:p w14:paraId="0D8B47A9" w14:textId="34D8B4A9" w:rsidR="00F926A5" w:rsidRPr="00AC269B" w:rsidRDefault="00F926A5" w:rsidP="00733C11">
      <w:pPr>
        <w:pStyle w:val="Title"/>
        <w:bidi/>
        <w:rPr>
          <w:bCs/>
        </w:rPr>
      </w:pPr>
      <w:r>
        <w:rPr>
          <w:bCs/>
          <w:color w:val="auto"/>
          <w:sz w:val="36"/>
          <w:szCs w:val="36"/>
          <w:rtl/>
          <w:lang w:bidi="prs-AF"/>
        </w:rPr>
        <w:t>معلومات برای والدین و مراقبین</w:t>
      </w:r>
    </w:p>
    <w:bookmarkEnd w:id="0"/>
    <w:bookmarkEnd w:id="1"/>
    <w:p w14:paraId="02C42707" w14:textId="07912C4E" w:rsidR="00F926A5" w:rsidRPr="00F926A5" w:rsidRDefault="00F926A5" w:rsidP="00A10BB8">
      <w:pPr>
        <w:widowControl w:val="0"/>
        <w:autoSpaceDE w:val="0"/>
        <w:autoSpaceDN w:val="0"/>
        <w:bidi/>
        <w:spacing w:before="209"/>
        <w:ind w:right="166"/>
        <w:rPr>
          <w:rFonts w:eastAsia="Arial"/>
          <w:szCs w:val="22"/>
        </w:rPr>
      </w:pPr>
      <w:r>
        <w:rPr>
          <w:rFonts w:eastAsia="Arial"/>
          <w:szCs w:val="22"/>
          <w:rtl/>
          <w:lang w:bidi="prs-AF"/>
        </w:rPr>
        <w:t>متعلمین ممکن است علاقه مند به تحصیل در دانشگاه باشند، شغل خاصی را در ذهن داشته باشند که شامل تحصیلات و آموزش بیشتر می شود، یا قصد داشته باشند پس از ترک مکتب وارد نیروی کار شوند. طیف گسترده ای از گزینه ها برای متعلمین در صنوف 11 و 12 وجود دارد که مسیرهای متعددی را به دانشگاه، آموزش و اشتغال فراهم می کند.</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bidi/>
        <w:rPr>
          <w:rFonts w:eastAsia="Arial"/>
          <w:b/>
          <w:color w:val="592C82"/>
          <w:sz w:val="26"/>
          <w:szCs w:val="22"/>
        </w:rPr>
      </w:pPr>
      <w:r>
        <w:rPr>
          <w:rFonts w:eastAsia="Arial"/>
          <w:b/>
          <w:bCs/>
          <w:color w:val="592C82"/>
          <w:sz w:val="26"/>
          <w:szCs w:val="22"/>
          <w:rtl/>
          <w:lang w:bidi="prs-AF"/>
        </w:rPr>
        <w:t xml:space="preserve"> گزینه های کورس و پروگرام برای متعلمین صنف 11 و 12</w:t>
      </w:r>
    </w:p>
    <w:p w14:paraId="0EF80CEA" w14:textId="77777777" w:rsidR="005007C0" w:rsidRDefault="005007C0" w:rsidP="005007C0"/>
    <w:tbl>
      <w:tblPr>
        <w:tblStyle w:val="DOETable1"/>
        <w:bidiVisual/>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pPr>
              <w:bidi/>
            </w:pPr>
            <w:r>
              <w:rPr>
                <w:rtl/>
                <w:lang w:bidi="prs-AF"/>
              </w:rPr>
              <w:t xml:space="preserve"> گزینه ها</w:t>
            </w:r>
          </w:p>
        </w:tc>
        <w:tc>
          <w:tcPr>
            <w:tcW w:w="7373" w:type="dxa"/>
            <w:hideMark/>
          </w:tcPr>
          <w:p w14:paraId="692BFB56" w14:textId="77777777" w:rsidR="005007C0" w:rsidRDefault="005007C0">
            <w:pPr>
              <w:bidi/>
              <w:cnfStyle w:val="100000000000" w:firstRow="1" w:lastRow="0" w:firstColumn="0" w:lastColumn="0" w:oddVBand="0" w:evenVBand="0" w:oddHBand="0" w:evenHBand="0" w:firstRowFirstColumn="0" w:firstRowLastColumn="0" w:lastRowFirstColumn="0" w:lastRowLastColumn="0"/>
            </w:pPr>
            <w:r>
              <w:rPr>
                <w:rtl/>
                <w:lang w:bidi="prs-AF"/>
              </w:rPr>
              <w:t>توضیحات</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pPr>
              <w:bidi/>
            </w:pPr>
            <w:r>
              <w:rPr>
                <w:rtl/>
                <w:lang w:bidi="prs-AF"/>
              </w:rPr>
              <w:t xml:space="preserve">کورس های </w:t>
            </w:r>
            <w:r>
              <w:t>ATAR</w:t>
            </w:r>
            <w:r>
              <w:rPr>
                <w:rtl/>
                <w:lang w:bidi="prs-AF"/>
              </w:rPr>
              <w:t xml:space="preserve"> </w:t>
            </w:r>
          </w:p>
        </w:tc>
        <w:tc>
          <w:tcPr>
            <w:tcW w:w="0" w:type="dxa"/>
            <w:vAlign w:val="center"/>
            <w:hideMark/>
          </w:tcPr>
          <w:p w14:paraId="6B9EC067" w14:textId="6019E3FE" w:rsidR="00DB2889" w:rsidRPr="003257AC" w:rsidRDefault="00F926A5" w:rsidP="005E7D74">
            <w:pPr>
              <w:bidi/>
              <w:cnfStyle w:val="000000000000" w:firstRow="0" w:lastRow="0" w:firstColumn="0" w:lastColumn="0" w:oddVBand="0" w:evenVBand="0" w:oddHBand="0" w:evenHBand="0" w:firstRowFirstColumn="0" w:firstRowLastColumn="0" w:lastRowFirstColumn="0" w:lastRowLastColumn="0"/>
              <w:rPr>
                <w:spacing w:val="-2"/>
              </w:rPr>
            </w:pPr>
            <w:r>
              <w:rPr>
                <w:rtl/>
                <w:lang w:bidi="prs-AF"/>
              </w:rPr>
              <w:t>کورس های رتبه پذیرش سوم استرالیا (</w:t>
            </w:r>
            <w:r>
              <w:t>ATAR</w:t>
            </w:r>
            <w:r>
              <w:rPr>
                <w:rtl/>
                <w:lang w:bidi="prs-AF"/>
              </w:rPr>
              <w:t xml:space="preserve">) معمولاً تمرکز علمی دارد.   متعلمینی که به دنبال دستیابی به </w:t>
            </w:r>
            <w:r>
              <w:t>ATAR</w:t>
            </w:r>
            <w:r>
              <w:rPr>
                <w:rtl/>
                <w:lang w:bidi="prs-AF"/>
              </w:rPr>
              <w:t xml:space="preserve"> هستند باید حداقل 4 سال 12 کورس </w:t>
            </w:r>
            <w:r>
              <w:t>ATAR</w:t>
            </w:r>
            <w:r>
              <w:rPr>
                <w:rtl/>
                <w:lang w:bidi="prs-AF"/>
              </w:rPr>
              <w:t xml:space="preserve"> را بگذرانند.  اگرچه معمولاً کورس های </w:t>
            </w:r>
            <w:r>
              <w:t>ATAR</w:t>
            </w:r>
            <w:r>
              <w:rPr>
                <w:rtl/>
                <w:lang w:bidi="prs-AF"/>
              </w:rPr>
              <w:t xml:space="preserve"> برای دسترسی به مطالعات دانشگاه انجام می شود،همچنان آماده سازی عالی برای طیف وسیعی از مسیرهای پس از مکتب بشمول آموزش حرفه ای است.   </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pPr>
              <w:bidi/>
            </w:pPr>
            <w:r>
              <w:rPr>
                <w:rtl/>
                <w:lang w:bidi="prs-AF"/>
              </w:rPr>
              <w:t>کورس های عمومی</w:t>
            </w:r>
            <w:r>
              <w:rPr>
                <w:b w:val="0"/>
                <w:bCs w:val="0"/>
                <w:rtl/>
                <w:lang w:bidi="prs-AF"/>
              </w:rPr>
              <w:t xml:space="preserve"> </w:t>
            </w:r>
          </w:p>
        </w:tc>
        <w:tc>
          <w:tcPr>
            <w:tcW w:w="0" w:type="dxa"/>
            <w:vAlign w:val="center"/>
            <w:hideMark/>
          </w:tcPr>
          <w:p w14:paraId="1A064C8E" w14:textId="520756AC" w:rsidR="00DB2889"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prs-AF"/>
              </w:rPr>
              <w:t xml:space="preserve"> این کورس ها اساساً برای متعلمینی که معمولاً هدف شان ورود به آموزش های حرفه ای بیشتر یا ورود به نیروی کار بعد از ترک مکتب هستند در نظر گرفته شده است.   کورس های عمومی امتحانات خارجی مانند کورس های </w:t>
            </w:r>
            <w:r>
              <w:t>ATAR</w:t>
            </w:r>
            <w:r>
              <w:rPr>
                <w:rtl/>
                <w:lang w:bidi="prs-AF"/>
              </w:rPr>
              <w:t xml:space="preserve"> ندارند، اما آنها یک وظیفه اجباری تعیين‌شده‌ی توسط نهاد خارجی در صنف دوازدهم دارند که ارزش آن 15 درصد از ارزیابی کلی یک متعلم  است.    متعلمین ممکن است بتوانند از برخی دروس عمومی به عنوان بخشی از یک مسیر جایگزین یا امکان پذیر برای ورود به برخی از کورس های دانشگاه استفاده کنند.</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pPr>
              <w:bidi/>
            </w:pPr>
            <w:r>
              <w:rPr>
                <w:b w:val="0"/>
                <w:bCs w:val="0"/>
                <w:rtl/>
                <w:lang w:bidi="prs-AF"/>
              </w:rPr>
              <w:t xml:space="preserve"> </w:t>
            </w:r>
            <w:r>
              <w:rPr>
                <w:rtl/>
                <w:lang w:bidi="prs-AF"/>
              </w:rPr>
              <w:t xml:space="preserve">کورس های </w:t>
            </w:r>
            <w:r w:rsidRPr="008C0CE6">
              <w:rPr>
                <w:rtl/>
                <w:lang w:bidi="prs-AF"/>
              </w:rPr>
              <w:t>مبدأ</w:t>
            </w:r>
            <w:r>
              <w:rPr>
                <w:rtl/>
                <w:lang w:bidi="prs-AF"/>
              </w:rPr>
              <w:t xml:space="preserve"> </w:t>
            </w:r>
          </w:p>
        </w:tc>
        <w:tc>
          <w:tcPr>
            <w:tcW w:w="0" w:type="dxa"/>
            <w:vAlign w:val="center"/>
            <w:hideMark/>
          </w:tcPr>
          <w:p w14:paraId="639E94E6" w14:textId="0A3A1D83" w:rsidR="00F926A5" w:rsidRPr="00F926A5" w:rsidRDefault="00F926A5" w:rsidP="005E7D74">
            <w:pPr>
              <w:bidi/>
              <w:cnfStyle w:val="000000000000" w:firstRow="0" w:lastRow="0" w:firstColumn="0" w:lastColumn="0" w:oddVBand="0" w:evenVBand="0" w:oddHBand="0" w:evenHBand="0" w:firstRowFirstColumn="0" w:firstRowLastColumn="0" w:lastRowFirstColumn="0" w:lastRowLastColumn="0"/>
            </w:pPr>
            <w:r>
              <w:rPr>
                <w:rtl/>
                <w:lang w:bidi="prs-AF"/>
              </w:rPr>
              <w:t xml:space="preserve"> برای متعلمینی طراحی شده است که  نیاز به حمایت برای بدست آوردن حداقل معیار های سواد و/یا مهارت‌های سواد عددی قبل از پایان صنف  دوازدهم نیاز به حمایت دارند. این کورس ها تمرکز را روی مهارت های سواد و مهارت‌های سواد عددی، تجربه عملی مرتبط به کار و فرصت ایجاد مهارت های شخصی که برای زندگی و کار مهم است فراهم میسازد. </w:t>
            </w:r>
          </w:p>
          <w:p w14:paraId="194298FA" w14:textId="439B0616" w:rsidR="00DB2889" w:rsidRPr="0045201C" w:rsidRDefault="00F926A5" w:rsidP="005E7D74">
            <w:pPr>
              <w:bidi/>
              <w:cnfStyle w:val="000000000000" w:firstRow="0" w:lastRow="0" w:firstColumn="0" w:lastColumn="0" w:oddVBand="0" w:evenVBand="0" w:oddHBand="0" w:evenHBand="0" w:firstRowFirstColumn="0" w:firstRowLastColumn="0" w:lastRowFirstColumn="0" w:lastRowLastColumn="0"/>
            </w:pPr>
            <w:r>
              <w:rPr>
                <w:rtl/>
                <w:lang w:bidi="prs-AF"/>
              </w:rPr>
              <w:t xml:space="preserve"> کورس های مبدأ امتحان ندارند، آنها یک وظیفه اجباری تعیين‌شده‌ی توسط نهاد خارجی در صنف 12 دارند که ارزش 15% ارزیابی مبتنی بر مکتب یک متعلم برای این کورس را دارد.</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04B02F8" w14:textId="77777777" w:rsidR="008C0CE6" w:rsidRDefault="00F926A5" w:rsidP="00D904A2">
            <w:pPr>
              <w:bidi/>
              <w:rPr>
                <w:b w:val="0"/>
                <w:bCs w:val="0"/>
                <w:lang w:bidi="prs-AF"/>
              </w:rPr>
            </w:pPr>
            <w:r>
              <w:rPr>
                <w:rtl/>
                <w:lang w:bidi="prs-AF"/>
              </w:rPr>
              <w:t xml:space="preserve">مدارک </w:t>
            </w:r>
            <w:r>
              <w:t>VET</w:t>
            </w:r>
            <w:r>
              <w:rPr>
                <w:rtl/>
                <w:lang w:bidi="prs-AF"/>
              </w:rPr>
              <w:t xml:space="preserve"> </w:t>
            </w:r>
          </w:p>
          <w:p w14:paraId="588FD271" w14:textId="0361F6F0" w:rsidR="005007C0" w:rsidRDefault="00F926A5" w:rsidP="008C0CE6">
            <w:pPr>
              <w:bidi/>
            </w:pPr>
            <w:r>
              <w:rPr>
                <w:rtl/>
                <w:lang w:bidi="prs-AF"/>
              </w:rPr>
              <w:t xml:space="preserve"> </w:t>
            </w:r>
            <w:r w:rsidRPr="008C0CE6">
              <w:rPr>
                <w:rtl/>
                <w:lang w:bidi="prs-AF"/>
              </w:rPr>
              <w:t>(فنی و حرفه‌ای)</w:t>
            </w:r>
          </w:p>
        </w:tc>
        <w:tc>
          <w:tcPr>
            <w:tcW w:w="0" w:type="dxa"/>
            <w:vAlign w:val="center"/>
            <w:hideMark/>
          </w:tcPr>
          <w:p w14:paraId="2089142A" w14:textId="3D91EB93" w:rsidR="00DB2889"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prs-AF"/>
              </w:rPr>
              <w:t>متعلمین یک مدرک آموزش فنی و حرفه‌ای (</w:t>
            </w:r>
            <w:r>
              <w:t>VET</w:t>
            </w:r>
            <w:r>
              <w:rPr>
                <w:rtl/>
                <w:lang w:bidi="prs-AF"/>
              </w:rPr>
              <w:t xml:space="preserve">) را که به‌صورت ملی به رسمیت شناخته شده است، تکمیل می‌کنند. </w:t>
            </w:r>
            <w:r>
              <w:t>VET</w:t>
            </w:r>
            <w:r>
              <w:rPr>
                <w:rtl/>
                <w:lang w:bidi="prs-AF"/>
              </w:rPr>
              <w:t xml:space="preserve"> مهارت ها و دانش را در محیط کار و برای آن ایجاد می کند. متعلمین می‌توانند از مدارک تحصیلی </w:t>
            </w:r>
            <w:r>
              <w:t>VET</w:t>
            </w:r>
            <w:r>
              <w:rPr>
                <w:rtl/>
                <w:lang w:bidi="prs-AF"/>
              </w:rPr>
              <w:t xml:space="preserve"> برای حساب کردن در بدست آوردن گواهینامه تحصیلی استرالیای غربی (</w:t>
            </w:r>
            <w:r>
              <w:t>WACE</w:t>
            </w:r>
            <w:r>
              <w:rPr>
                <w:rtl/>
                <w:lang w:bidi="prs-AF"/>
              </w:rPr>
              <w:t>) استفاده کنند.</w:t>
            </w:r>
          </w:p>
        </w:tc>
      </w:tr>
    </w:tbl>
    <w:p w14:paraId="353A5361" w14:textId="199D8AAE" w:rsidR="00AB4166" w:rsidRDefault="00AB4166"/>
    <w:tbl>
      <w:tblPr>
        <w:tblStyle w:val="DOETable1"/>
        <w:bidiVisual/>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38BDBD42" w:rsidR="005007C0" w:rsidRDefault="00F926A5" w:rsidP="00567D4C">
            <w:pPr>
              <w:bidi/>
            </w:pPr>
            <w:r>
              <w:rPr>
                <w:rtl/>
                <w:lang w:bidi="prs-AF"/>
              </w:rPr>
              <w:lastRenderedPageBreak/>
              <w:t>پروگرام های تاییدشده</w:t>
            </w:r>
          </w:p>
        </w:tc>
        <w:tc>
          <w:tcPr>
            <w:tcW w:w="7373" w:type="dxa"/>
            <w:vAlign w:val="center"/>
            <w:hideMark/>
          </w:tcPr>
          <w:p w14:paraId="099A0D81" w14:textId="23F7CFD3" w:rsidR="00DB2889" w:rsidRPr="005E7D74" w:rsidRDefault="00F926A5" w:rsidP="005E7D74">
            <w:pPr>
              <w:bidi/>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tl/>
                <w:lang w:bidi="prs-AF"/>
              </w:rPr>
              <w:t xml:space="preserve">پروگرام های تایید شده، یادگیری را از طریق فعالیت هایی ارائه می دهند که تحت پوشش کورس های </w:t>
            </w:r>
            <w:r>
              <w:rPr>
                <w:color w:val="000000"/>
                <w:shd w:val="clear" w:color="auto" w:fill="FFFFFF"/>
              </w:rPr>
              <w:t>WACE</w:t>
            </w:r>
            <w:r>
              <w:rPr>
                <w:color w:val="000000"/>
                <w:shd w:val="clear" w:color="auto" w:fill="FFFFFF"/>
                <w:rtl/>
                <w:lang w:bidi="prs-AF"/>
              </w:rPr>
              <w:t xml:space="preserve"> یا پروگرام های </w:t>
            </w:r>
            <w:r>
              <w:rPr>
                <w:color w:val="000000"/>
                <w:shd w:val="clear" w:color="auto" w:fill="FFFFFF"/>
              </w:rPr>
              <w:t>VET</w:t>
            </w:r>
            <w:r>
              <w:rPr>
                <w:color w:val="000000"/>
                <w:shd w:val="clear" w:color="auto" w:fill="FFFFFF"/>
                <w:rtl/>
                <w:lang w:bidi="prs-AF"/>
              </w:rPr>
              <w:t xml:space="preserve"> نیستند. پروگرام های تایید شده برای متعلمینی است که مایل به شرکت درپروگرام هایی هستند که در محیط های مختلف توسط مکاتب، محل کار، دانگاه ها و سازمان های اجتماعی ارائه می شوند.پروگرام های تایید شده را می توان به عنوان بخشی از برنامه درسی مکتب یا به عنوان فعالیت های فوق برنامه ارائه کرد و متعلمین می توانند از آنها برای حساب کردن در دستیابی به </w:t>
            </w:r>
            <w:r>
              <w:rPr>
                <w:color w:val="000000"/>
                <w:shd w:val="clear" w:color="auto" w:fill="FFFFFF"/>
              </w:rPr>
              <w:t>WACE</w:t>
            </w:r>
            <w:r>
              <w:rPr>
                <w:color w:val="000000"/>
                <w:shd w:val="clear" w:color="auto" w:fill="FFFFFF"/>
                <w:rtl/>
                <w:lang w:bidi="prs-AF"/>
              </w:rPr>
              <w:t xml:space="preserve"> استفاده کنند.</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pPr>
              <w:bidi/>
            </w:pPr>
            <w:r>
              <w:rPr>
                <w:rtl/>
                <w:lang w:bidi="prs-AF"/>
              </w:rPr>
              <w:t>کورس های مقدماتی</w:t>
            </w:r>
          </w:p>
        </w:tc>
        <w:tc>
          <w:tcPr>
            <w:tcW w:w="7373" w:type="dxa"/>
            <w:vAlign w:val="center"/>
            <w:hideMark/>
          </w:tcPr>
          <w:p w14:paraId="24EC0142" w14:textId="08CA7EB6" w:rsidR="00F926A5" w:rsidRPr="00F926A5"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prs-AF"/>
              </w:rPr>
              <w:t xml:space="preserve">کورس های مقدماتی برای متعلمینی طراحی شده است که دارای مشکل یادگیری و/یا ناتوانی ذهنی هستند. این کورس ها گزینه‌هایی را برای متعلمینی فراهم می‌کنند که نمی‌توانند به محتوای کورس </w:t>
            </w:r>
            <w:r>
              <w:t>ATAR</w:t>
            </w:r>
            <w:r>
              <w:rPr>
                <w:rtl/>
                <w:lang w:bidi="prs-AF"/>
              </w:rPr>
              <w:t>، عمومی یا بنیادی با مقررات تنظیم و/یا ناتوانی دسترسی داشته باشند.</w:t>
            </w:r>
          </w:p>
          <w:p w14:paraId="53AA4D07" w14:textId="6028C291" w:rsidR="00DB2889" w:rsidRPr="005E7D74"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prs-AF"/>
              </w:rPr>
              <w:t xml:space="preserve">بخش های مقدماتی به دستیابی به </w:t>
            </w:r>
            <w:r>
              <w:t>WAVE</w:t>
            </w:r>
            <w:r>
              <w:rPr>
                <w:rtl/>
                <w:lang w:bidi="prs-AF"/>
              </w:rPr>
              <w:t xml:space="preserve"> کمک نمی کنند.</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pPr>
        <w:bidi/>
      </w:pPr>
      <w:r>
        <w:separator/>
      </w:r>
    </w:p>
  </w:endnote>
  <w:endnote w:type="continuationSeparator" w:id="0">
    <w:p w14:paraId="6BFF8649" w14:textId="77777777" w:rsidR="009261FF" w:rsidRDefault="009261FF" w:rsidP="00127DA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bidi/>
      <w:rPr>
        <w:sz w:val="18"/>
        <w:szCs w:val="14"/>
      </w:rPr>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D24/0256674</w:t>
        </w:r>
      </w:sdtContent>
    </w:sdt>
  </w:p>
  <w:p w14:paraId="3CC1B870" w14:textId="0C9C4C4C" w:rsidR="000F6D5A" w:rsidRPr="003E7296" w:rsidRDefault="008626AA" w:rsidP="008626AA">
    <w:pPr>
      <w:pStyle w:val="Footer"/>
      <w:bidi/>
      <w:rPr>
        <w:sz w:val="18"/>
        <w:szCs w:val="14"/>
      </w:rPr>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tl/>
        <w:lang w:bidi="prs-AF"/>
      </w:rPr>
      <w:t>2</w:t>
    </w:r>
    <w:r>
      <w:rPr>
        <w:sz w:val="18"/>
        <w:szCs w:val="14"/>
      </w:rPr>
      <w:fldChar w:fldCharType="end"/>
    </w:r>
    <w:r>
      <w:rPr>
        <w:sz w:val="18"/>
        <w:szCs w:val="14"/>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D24/0256674</w:t>
        </w:r>
      </w:sdtContent>
    </w:sdt>
  </w:p>
  <w:p w14:paraId="0E2C46A7" w14:textId="0337A0DE" w:rsidR="00AF71AF" w:rsidRPr="00FE0C8C" w:rsidRDefault="00440775" w:rsidP="001E1668">
    <w:pPr>
      <w:pStyle w:val="Footer"/>
      <w:bidi/>
      <w:rPr>
        <w:sz w:val="18"/>
        <w:szCs w:val="14"/>
      </w:rPr>
    </w:pPr>
    <w:r>
      <w:rPr>
        <w:color w:val="auto"/>
        <w:sz w:val="18"/>
        <w:szCs w:val="14"/>
      </w:rPr>
      <w:tab/>
    </w:r>
    <w:r>
      <w:rPr>
        <w:color w:val="auto"/>
        <w:sz w:val="18"/>
        <w:szCs w:val="14"/>
      </w:rP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pPr>
        <w:bidi/>
      </w:pPr>
      <w:r>
        <w:separator/>
      </w:r>
    </w:p>
  </w:footnote>
  <w:footnote w:type="continuationSeparator" w:id="0">
    <w:p w14:paraId="5E5A24A9" w14:textId="77777777" w:rsidR="009261FF" w:rsidRDefault="009261FF" w:rsidP="00127DA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A955162" w:rsidR="00916AF7" w:rsidRDefault="000A6C13"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800" behindDoc="0" locked="0" layoutInCell="1" allowOverlap="1" wp14:anchorId="54C6982B" wp14:editId="2992B3AC">
              <wp:simplePos x="0" y="0"/>
              <wp:positionH relativeFrom="rightMargin">
                <wp:posOffset>-76200</wp:posOffset>
              </wp:positionH>
              <wp:positionV relativeFrom="paragraph">
                <wp:posOffset>-179705</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61C89118" w14:textId="5062864E" w:rsidR="000A6C13" w:rsidRDefault="000A6C13" w:rsidP="000A6C13">
                          <w:pPr>
                            <w:rPr>
                              <w:color w:val="404040" w:themeColor="text1" w:themeTint="BF"/>
                              <w:sz w:val="18"/>
                              <w:szCs w:val="16"/>
                            </w:rPr>
                          </w:pPr>
                          <w:r>
                            <w:rPr>
                              <w:color w:val="404040" w:themeColor="text1" w:themeTint="BF"/>
                              <w:sz w:val="18"/>
                              <w:szCs w:val="16"/>
                            </w:rPr>
                            <w:t>Dari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6982B" id="_x0000_t202" coordsize="21600,21600" o:spt="202" path="m,l,21600r21600,l21600,xe">
              <v:stroke joinstyle="miter"/>
              <v:path gradientshapeok="t" o:connecttype="rect"/>
            </v:shapetype>
            <v:shape id="Text Box 1" o:spid="_x0000_s1026" type="#_x0000_t202" style="position:absolute;left:0;text-align:left;margin-left:-6pt;margin-top:-14.15pt;width:48.75pt;height:18.05pt;z-index:25166080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" filled="f" stroked="f">
              <v:textbox style="mso-fit-shape-to-text:t">
                <w:txbxContent>
                  <w:p w14:paraId="61C89118" w14:textId="5062864E" w:rsidR="000A6C13" w:rsidRDefault="000A6C13" w:rsidP="000A6C13">
                    <w:pPr>
                      <w:rPr>
                        <w:color w:val="404040" w:themeColor="text1" w:themeTint="BF"/>
                        <w:sz w:val="18"/>
                        <w:szCs w:val="16"/>
                      </w:rPr>
                    </w:pPr>
                    <w:r>
                      <w:rPr>
                        <w:color w:val="404040" w:themeColor="text1" w:themeTint="BF"/>
                        <w:sz w:val="18"/>
                        <w:szCs w:val="16"/>
                      </w:rPr>
                      <w:t>Dari</w:t>
                    </w:r>
                  </w:p>
                </w:txbxContent>
              </v:textbox>
              <w10:wrap type="square" anchorx="margin"/>
            </v:shape>
          </w:pict>
        </mc:Fallback>
      </mc:AlternateContent>
    </w:r>
    <w:r w:rsidR="00DD5BF0">
      <w:rPr>
        <w:noProof/>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C13"/>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E1C5C"/>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C0CE6"/>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3533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521A"/>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70F94"/>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991E2F"/>
    <w:rsid w:val="00A35335"/>
    <w:rsid w:val="00BD046A"/>
    <w:rsid w:val="00D000C5"/>
    <w:rsid w:val="00D70F94"/>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2.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4B8C1FB1-D739-44F1-8AB2-22FBECD3FFDB}"/>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2025-04-09T04:02:00Z</dcterms:created>
  <dcterms:modified xsi:type="dcterms:W3CDTF">2025-04-09T04:02:00Z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